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举办全县性学生竞赛活动审批流程图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一、受理</w:t>
      </w: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  <w:t>↓</w:t>
      </w:r>
    </w:p>
    <w:tbl>
      <w:tblPr>
        <w:tblStyle w:val="4"/>
        <w:tblW w:w="6493" w:type="dxa"/>
        <w:tblInd w:w="1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16" w:hRule="atLeast"/>
        </w:trPr>
        <w:tc>
          <w:tcPr>
            <w:tcW w:w="6493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  <w:t>申请人提供材料</w:t>
            </w:r>
          </w:p>
        </w:tc>
      </w:tr>
    </w:tbl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84"/>
          <w:szCs w:val="8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  <w:t>↓</w:t>
      </w: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二、审查</w:t>
      </w:r>
    </w:p>
    <w:tbl>
      <w:tblPr>
        <w:tblStyle w:val="4"/>
        <w:tblW w:w="6450" w:type="dxa"/>
        <w:tblInd w:w="13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95" w:hRule="atLeast"/>
        </w:trPr>
        <w:tc>
          <w:tcPr>
            <w:tcW w:w="6450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  <w:t>材料是否齐全</w:t>
            </w:r>
          </w:p>
        </w:tc>
      </w:tr>
    </w:tbl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  <w:t>↓</w:t>
      </w: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三、许可</w:t>
      </w:r>
    </w:p>
    <w:tbl>
      <w:tblPr>
        <w:tblStyle w:val="4"/>
        <w:tblW w:w="6450" w:type="dxa"/>
        <w:tblInd w:w="1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17" w:hRule="atLeast"/>
        </w:trPr>
        <w:tc>
          <w:tcPr>
            <w:tcW w:w="6450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  <w:t>材料审核通过、允许组织竞赛</w:t>
            </w:r>
          </w:p>
        </w:tc>
      </w:tr>
    </w:tbl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  <w:t>↓</w:t>
      </w: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四、监管</w:t>
      </w:r>
    </w:p>
    <w:tbl>
      <w:tblPr>
        <w:tblStyle w:val="4"/>
        <w:tblW w:w="6472" w:type="dxa"/>
        <w:tblInd w:w="13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17" w:hRule="atLeast"/>
        </w:trPr>
        <w:tc>
          <w:tcPr>
            <w:tcW w:w="6472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vertAlign w:val="baseline"/>
                <w:lang w:val="en-US" w:eastAsia="zh-CN"/>
              </w:rPr>
              <w:t>竞赛过程是否存在问题</w:t>
            </w:r>
          </w:p>
        </w:tc>
      </w:tr>
    </w:tbl>
    <w:p>
      <w:pPr>
        <w:numPr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9D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2017-12-11T05:56:02Z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