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pPr>
        <w:pStyle w:val="13"/>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宋体" w:hAnsi="宋体" w:eastAsia="宋体"/>
          <w:color w:val="000000"/>
          <w:sz w:val="40"/>
          <w:szCs w:val="40"/>
          <w:lang w:eastAsia="zh-CN"/>
        </w:rPr>
      </w:pPr>
      <w:bookmarkStart w:id="0" w:name="_Toc4179"/>
      <w:bookmarkStart w:id="1" w:name="_Toc31782"/>
      <w:bookmarkStart w:id="2" w:name="_Toc20477"/>
      <w:bookmarkStart w:id="3" w:name="_Toc23758"/>
      <w:bookmarkStart w:id="4" w:name="_Toc25055"/>
      <w:r>
        <w:rPr>
          <w:rFonts w:hint="eastAsia" w:ascii="宋体" w:hAnsi="宋体" w:eastAsia="宋体"/>
          <w:color w:val="000000"/>
          <w:sz w:val="40"/>
          <w:szCs w:val="40"/>
          <w:lang w:eastAsia="zh-CN"/>
        </w:rPr>
        <w:t>伊通满族自治县二次供水改造工程项目</w:t>
      </w:r>
      <w:bookmarkEnd w:id="0"/>
    </w:p>
    <w:p>
      <w:pPr>
        <w:pStyle w:val="13"/>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宋体" w:hAnsi="宋体" w:eastAsia="宋体"/>
          <w:color w:val="000000"/>
          <w:sz w:val="40"/>
          <w:szCs w:val="40"/>
          <w:lang w:eastAsia="zh-CN"/>
        </w:rPr>
      </w:pPr>
      <w:bookmarkStart w:id="5" w:name="_Toc5905"/>
      <w:r>
        <w:rPr>
          <w:rFonts w:hint="eastAsia" w:ascii="宋体" w:hAnsi="宋体" w:eastAsia="宋体"/>
          <w:color w:val="000000"/>
          <w:sz w:val="40"/>
          <w:szCs w:val="40"/>
          <w:lang w:eastAsia="zh-CN"/>
        </w:rPr>
        <w:t>专项债券项目绩效评价报告</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lang w:val="en-US" w:eastAsia="zh-CN"/>
        </w:rPr>
        <w:t>项目编号：</w:t>
      </w:r>
      <w:r>
        <w:rPr>
          <w:rFonts w:hint="eastAsia" w:ascii="宋体" w:hAnsi="宋体" w:eastAsia="宋体" w:cs="宋体"/>
          <w:b/>
          <w:bCs/>
          <w:sz w:val="32"/>
          <w:szCs w:val="32"/>
          <w:highlight w:val="none"/>
          <w:lang w:val="en-US" w:eastAsia="zh-CN"/>
        </w:rPr>
        <w:t>JXPJ-XM-2022097</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13"/>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default" w:ascii="宋体" w:hAnsi="宋体" w:eastAsia="宋体"/>
          <w:color w:val="000000"/>
          <w:sz w:val="36"/>
          <w:szCs w:val="36"/>
          <w:lang w:val="en-US" w:eastAsia="zh-CN"/>
        </w:rPr>
      </w:pPr>
      <w:bookmarkStart w:id="6" w:name="_Toc26639"/>
      <w:bookmarkStart w:id="7" w:name="_Toc16853"/>
      <w:bookmarkStart w:id="8" w:name="_Toc15645"/>
      <w:bookmarkStart w:id="9" w:name="_Toc21708"/>
      <w:bookmarkStart w:id="10" w:name="_Toc23103"/>
      <w:bookmarkStart w:id="11" w:name="_Toc9436"/>
      <w:bookmarkStart w:id="12" w:name="_Toc3346"/>
      <w:bookmarkStart w:id="13" w:name="_Toc31377"/>
      <w:bookmarkStart w:id="14" w:name="_Toc17738"/>
      <w:bookmarkStart w:id="15" w:name="_Toc17651"/>
      <w:bookmarkStart w:id="16" w:name="_Toc24850"/>
      <w:bookmarkStart w:id="17" w:name="_Toc27946"/>
      <w:r>
        <w:rPr>
          <w:rFonts w:hint="eastAsia" w:ascii="宋体" w:hAnsi="宋体" w:eastAsia="宋体"/>
          <w:color w:val="000000"/>
          <w:sz w:val="36"/>
          <w:szCs w:val="36"/>
        </w:rPr>
        <w:t>委托单位：</w:t>
      </w:r>
      <w:bookmarkEnd w:id="6"/>
      <w:bookmarkEnd w:id="7"/>
      <w:bookmarkEnd w:id="8"/>
      <w:bookmarkEnd w:id="9"/>
      <w:bookmarkEnd w:id="10"/>
      <w:bookmarkEnd w:id="11"/>
      <w:bookmarkEnd w:id="12"/>
      <w:bookmarkEnd w:id="13"/>
      <w:bookmarkEnd w:id="14"/>
      <w:bookmarkEnd w:id="15"/>
      <w:bookmarkEnd w:id="16"/>
      <w:r>
        <w:rPr>
          <w:rFonts w:hint="eastAsia" w:ascii="宋体" w:hAnsi="宋体" w:eastAsia="宋体"/>
          <w:color w:val="000000"/>
          <w:sz w:val="36"/>
          <w:szCs w:val="36"/>
          <w:lang w:val="en-US" w:eastAsia="zh-CN"/>
        </w:rPr>
        <w:t>吉林省</w:t>
      </w:r>
      <w:r>
        <w:rPr>
          <w:rFonts w:hint="eastAsia" w:ascii="宋体" w:hAnsi="宋体" w:eastAsia="宋体"/>
          <w:color w:val="000000"/>
          <w:sz w:val="36"/>
          <w:szCs w:val="36"/>
        </w:rPr>
        <w:t>伊通满族自治县财政局</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宋体" w:hAnsi="宋体" w:eastAsia="宋体"/>
          <w:b/>
          <w:color w:val="000000"/>
          <w:kern w:val="0"/>
          <w:sz w:val="36"/>
          <w:szCs w:val="36"/>
        </w:rPr>
      </w:pPr>
      <w:r>
        <w:rPr>
          <w:rFonts w:hint="eastAsia" w:ascii="宋体" w:hAnsi="宋体" w:eastAsia="宋体"/>
          <w:b/>
          <w:color w:val="000000"/>
          <w:kern w:val="0"/>
          <w:sz w:val="36"/>
          <w:szCs w:val="36"/>
        </w:rPr>
        <w:t>评价机构：吉林省绩效评价咨询有限公司</w:t>
      </w:r>
    </w:p>
    <w:p>
      <w:pPr>
        <w:pStyle w:val="13"/>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ascii="Times New Roman" w:hAnsi="Times New Roman" w:eastAsia="宋体" w:cs="Times New Roman"/>
          <w:color w:val="000000"/>
          <w:sz w:val="32"/>
        </w:rPr>
      </w:pPr>
      <w:bookmarkStart w:id="18" w:name="_Toc16895"/>
      <w:bookmarkStart w:id="19" w:name="_Toc13462"/>
      <w:bookmarkStart w:id="20" w:name="_Toc13254"/>
      <w:bookmarkStart w:id="21" w:name="_Toc16519"/>
      <w:bookmarkStart w:id="22" w:name="_Toc10322"/>
      <w:bookmarkStart w:id="23" w:name="_Toc12418"/>
      <w:bookmarkStart w:id="24" w:name="_Toc22031"/>
      <w:bookmarkStart w:id="25" w:name="_Toc24362"/>
      <w:bookmarkStart w:id="26" w:name="_Toc5334"/>
      <w:bookmarkStart w:id="27" w:name="_Toc29916"/>
      <w:bookmarkStart w:id="28" w:name="_Toc24283"/>
      <w:bookmarkStart w:id="29" w:name="_Toc27634"/>
      <w:r>
        <w:rPr>
          <w:rFonts w:ascii="Times New Roman" w:hAnsi="Times New Roman" w:eastAsia="宋体" w:cs="Times New Roman"/>
          <w:color w:val="000000"/>
          <w:sz w:val="32"/>
        </w:rPr>
        <w:t>2022年</w:t>
      </w:r>
      <w:r>
        <w:rPr>
          <w:rFonts w:hint="eastAsia" w:ascii="Times New Roman" w:hAnsi="Times New Roman" w:eastAsia="宋体" w:cs="Times New Roman"/>
          <w:color w:val="000000"/>
          <w:sz w:val="32"/>
          <w:lang w:val="en-US" w:eastAsia="zh-CN"/>
        </w:rPr>
        <w:t>6</w:t>
      </w:r>
      <w:r>
        <w:rPr>
          <w:rFonts w:ascii="Times New Roman" w:hAnsi="Times New Roman" w:eastAsia="宋体" w:cs="Times New Roman"/>
          <w:color w:val="000000"/>
          <w:sz w:val="32"/>
        </w:rPr>
        <w:t>月</w:t>
      </w:r>
      <w:bookmarkEnd w:id="18"/>
      <w:bookmarkEnd w:id="19"/>
      <w:bookmarkEnd w:id="20"/>
      <w:bookmarkEnd w:id="21"/>
      <w:bookmarkEnd w:id="22"/>
      <w:bookmarkEnd w:id="23"/>
      <w:bookmarkEnd w:id="24"/>
      <w:bookmarkEnd w:id="25"/>
      <w:bookmarkEnd w:id="26"/>
      <w:bookmarkEnd w:id="27"/>
      <w:bookmarkEnd w:id="28"/>
      <w:bookmarkEnd w:id="29"/>
    </w:p>
    <w:p>
      <w:pPr>
        <w:rPr>
          <w:rFonts w:hint="eastAsia"/>
          <w:lang w:eastAsia="zh-CN"/>
        </w:rPr>
      </w:pPr>
    </w:p>
    <w:p>
      <w:pPr>
        <w:rPr>
          <w:rFonts w:hint="eastAsia"/>
          <w:lang w:eastAsia="zh-CN"/>
        </w:rPr>
      </w:pPr>
      <w:r>
        <w:rPr>
          <w:rFonts w:hint="eastAsia"/>
          <w:lang w:eastAsia="zh-CN"/>
        </w:rPr>
        <w:br w:type="page"/>
      </w:r>
    </w:p>
    <w:sdt>
      <w:sdtPr>
        <w:rPr>
          <w:rFonts w:ascii="宋体" w:hAnsi="宋体" w:eastAsia="宋体" w:cstheme="minorBidi"/>
          <w:kern w:val="2"/>
          <w:sz w:val="21"/>
          <w:szCs w:val="24"/>
          <w:lang w:val="en-US" w:eastAsia="zh-CN" w:bidi="ar-SA"/>
        </w:rPr>
        <w:id w:val="14746022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jc w:val="center"/>
            <w:rPr>
              <w:rFonts w:hint="eastAsia" w:ascii="仿宋" w:hAnsi="仿宋" w:eastAsia="仿宋" w:cs="仿宋"/>
              <w:b/>
              <w:bCs/>
              <w:sz w:val="36"/>
              <w:szCs w:val="36"/>
              <w:highlight w:val="none"/>
              <w:lang w:eastAsia="zh-CN"/>
            </w:rPr>
          </w:pPr>
          <w:bookmarkStart w:id="30" w:name="_Toc11966"/>
          <w:r>
            <w:rPr>
              <w:rFonts w:hint="eastAsia" w:ascii="仿宋" w:hAnsi="仿宋" w:eastAsia="仿宋" w:cs="仿宋"/>
              <w:b/>
              <w:bCs/>
              <w:sz w:val="36"/>
              <w:szCs w:val="36"/>
              <w:highlight w:val="none"/>
              <w:lang w:eastAsia="zh-CN"/>
            </w:rPr>
            <w:t>伊通满族自治县二次供水改造工程项目</w:t>
          </w:r>
        </w:p>
        <w:p>
          <w:pPr>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专项债券项目绩效评价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仿宋" w:cs="Times New Roman"/>
              <w:sz w:val="32"/>
              <w:szCs w:val="40"/>
              <w:highlight w:val="none"/>
              <w:lang w:eastAsia="zh-CN"/>
            </w:rPr>
          </w:pPr>
          <w:r>
            <w:rPr>
              <w:rFonts w:hint="eastAsia" w:ascii="Times New Roman" w:hAnsi="Times New Roman" w:eastAsia="仿宋" w:cs="Times New Roman"/>
              <w:sz w:val="32"/>
              <w:szCs w:val="40"/>
              <w:highlight w:val="none"/>
              <w:lang w:eastAsia="zh-CN"/>
            </w:rPr>
            <w:t>（</w:t>
          </w:r>
          <w:r>
            <w:rPr>
              <w:rFonts w:hint="default" w:ascii="Times New Roman" w:hAnsi="Times New Roman" w:eastAsia="仿宋" w:cs="Times New Roman"/>
              <w:sz w:val="32"/>
              <w:szCs w:val="40"/>
              <w:highlight w:val="none"/>
              <w:lang w:eastAsia="zh-CN"/>
            </w:rPr>
            <w:t>项目编号：JXPJ-XM-2022097</w:t>
          </w:r>
          <w:r>
            <w:rPr>
              <w:rFonts w:hint="eastAsia" w:ascii="Times New Roman" w:hAnsi="Times New Roman" w:eastAsia="仿宋"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仿宋" w:cs="Times New Roman"/>
              <w:sz w:val="32"/>
              <w:szCs w:val="40"/>
              <w:highlight w:val="none"/>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伊通满族自治县财政局：</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受贵单位委托，我公司成立绩效评价工作组，于2022年6月开展伊通满族自治县二次供水改造工程项目绩效评价工作。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问卷调查等方式，对伊通满族自治县二次供水改造工程项目进行客观评价，可考察指标总分为100分，本项目最终得分70.47分，得分率70.47%，评价结果为“中”。</w:t>
          </w:r>
        </w:p>
        <w:p>
          <w:pPr>
            <w:rPr>
              <w:rFonts w:hint="eastAsia"/>
              <w:b/>
              <w:bCs/>
              <w:highlight w:val="none"/>
              <w:lang w:eastAsia="zh-CN"/>
            </w:rPr>
          </w:pPr>
        </w:p>
        <w:p>
          <w:pPr>
            <w:rPr>
              <w:rFonts w:hint="eastAsia"/>
              <w:b/>
              <w:bCs/>
              <w:highlight w:val="none"/>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吉林省绩效评价咨询有限公司</w:t>
          </w:r>
        </w:p>
        <w:p>
          <w:pPr>
            <w:rPr>
              <w:rFonts w:hint="eastAsia"/>
              <w:highlight w:val="none"/>
              <w:lang w:eastAsia="zh-CN"/>
            </w:rPr>
          </w:pPr>
        </w:p>
        <w:p>
          <w:pPr>
            <w:rPr>
              <w:rFonts w:hint="eastAsia"/>
              <w:highlight w:val="none"/>
              <w:lang w:eastAsia="zh-CN"/>
            </w:rPr>
          </w:pPr>
        </w:p>
        <w:p>
          <w:pPr>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eastAsia="zh-CN"/>
            </w:rPr>
            <w:t>主评人（</w:t>
          </w:r>
          <w:r>
            <w:rPr>
              <w:rFonts w:hint="eastAsia" w:ascii="仿宋" w:hAnsi="仿宋" w:eastAsia="仿宋" w:cs="仿宋"/>
              <w:sz w:val="28"/>
              <w:szCs w:val="36"/>
              <w:highlight w:val="none"/>
              <w:lang w:val="en-US" w:eastAsia="zh-CN"/>
            </w:rPr>
            <w:t>签字或盖章</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 xml:space="preserve">                 副评人（签字或盖章）：</w:t>
          </w:r>
        </w:p>
        <w:p>
          <w:pPr>
            <w:rPr>
              <w:rFonts w:hint="eastAsia" w:ascii="仿宋" w:hAnsi="仿宋" w:eastAsia="仿宋" w:cs="仿宋"/>
              <w:sz w:val="28"/>
              <w:szCs w:val="36"/>
              <w:highlight w:val="none"/>
              <w:lang w:eastAsia="zh-CN"/>
            </w:rPr>
          </w:pPr>
        </w:p>
        <w:p>
          <w:pPr>
            <w:rPr>
              <w:rFonts w:hint="eastAsia" w:ascii="仿宋" w:hAnsi="仿宋" w:eastAsia="仿宋" w:cs="仿宋"/>
              <w:sz w:val="28"/>
              <w:szCs w:val="36"/>
              <w:highlight w:val="none"/>
              <w:lang w:eastAsia="zh-CN"/>
            </w:rPr>
          </w:pPr>
        </w:p>
        <w:p>
          <w:pPr>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eastAsia="zh-CN"/>
            </w:rPr>
            <w:t>审核人（</w:t>
          </w:r>
          <w:r>
            <w:rPr>
              <w:rFonts w:hint="eastAsia" w:ascii="仿宋" w:hAnsi="仿宋" w:eastAsia="仿宋" w:cs="仿宋"/>
              <w:sz w:val="28"/>
              <w:szCs w:val="36"/>
              <w:highlight w:val="none"/>
              <w:lang w:val="en-US" w:eastAsia="zh-CN"/>
            </w:rPr>
            <w:t>签字或盖章</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 xml:space="preserve">                 </w:t>
          </w:r>
        </w:p>
        <w:p>
          <w:pPr>
            <w:rPr>
              <w:rFonts w:hint="eastAsia"/>
              <w:highlight w:val="none"/>
              <w:lang w:eastAsia="zh-CN"/>
            </w:rPr>
          </w:pPr>
        </w:p>
        <w:p>
          <w:pPr>
            <w:rPr>
              <w:rFonts w:hint="eastAsia"/>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cstheme="minorBidi"/>
              <w:kern w:val="2"/>
              <w:sz w:val="21"/>
              <w:szCs w:val="24"/>
              <w:highlight w:val="none"/>
              <w:lang w:val="en-US" w:eastAsia="zh-CN" w:bidi="ar-SA"/>
            </w:rPr>
            <w:sectPr>
              <w:pgSz w:w="11906" w:h="16838"/>
              <w:pgMar w:top="1440" w:right="1080" w:bottom="1440" w:left="1080" w:header="851" w:footer="850" w:gutter="0"/>
              <w:pgNumType w:start="1"/>
              <w:cols w:space="720" w:num="1"/>
              <w:docGrid w:type="lines" w:linePitch="312" w:charSpace="0"/>
            </w:sectPr>
          </w:pPr>
          <w:r>
            <w:rPr>
              <w:rFonts w:hint="eastAsia" w:ascii="Times New Roman" w:hAnsi="Times New Roman" w:eastAsia="仿宋_GB2312" w:cs="Times New Roman"/>
              <w:color w:val="auto"/>
              <w:sz w:val="32"/>
              <w:szCs w:val="32"/>
              <w:highlight w:val="none"/>
              <w:lang w:val="en-US" w:eastAsia="zh-CN"/>
            </w:rPr>
            <w:t xml:space="preserve">                                      2022年6月24日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r>
            <w:fldChar w:fldCharType="begin"/>
          </w:r>
          <w:r>
            <w:instrText xml:space="preserve">TOC \o "1-3" \h \u </w:instrText>
          </w:r>
          <w:r>
            <w:fldChar w:fldCharType="separate"/>
          </w:r>
        </w:p>
        <w:p>
          <w:pPr>
            <w:pStyle w:val="10"/>
            <w:tabs>
              <w:tab w:val="right" w:leader="dot" w:pos="9746"/>
            </w:tabs>
          </w:pPr>
          <w:r>
            <w:fldChar w:fldCharType="begin"/>
          </w:r>
          <w:r>
            <w:instrText xml:space="preserve"> HYPERLINK \l _Toc2354 </w:instrText>
          </w:r>
          <w:r>
            <w:fldChar w:fldCharType="separate"/>
          </w:r>
          <w:r>
            <w:rPr>
              <w:rFonts w:hint="eastAsia"/>
              <w:lang w:eastAsia="zh-CN"/>
            </w:rPr>
            <w:t>一、基本情况</w:t>
          </w:r>
          <w:r>
            <w:tab/>
          </w:r>
          <w:r>
            <w:fldChar w:fldCharType="begin"/>
          </w:r>
          <w:r>
            <w:instrText xml:space="preserve"> PAGEREF _Toc2354 \h </w:instrText>
          </w:r>
          <w:r>
            <w:fldChar w:fldCharType="separate"/>
          </w:r>
          <w:r>
            <w:t>1</w:t>
          </w:r>
          <w:r>
            <w:fldChar w:fldCharType="end"/>
          </w:r>
          <w:r>
            <w:fldChar w:fldCharType="end"/>
          </w:r>
        </w:p>
        <w:p>
          <w:pPr>
            <w:pStyle w:val="11"/>
            <w:tabs>
              <w:tab w:val="right" w:leader="dot" w:pos="9746"/>
            </w:tabs>
          </w:pPr>
          <w:r>
            <w:fldChar w:fldCharType="begin"/>
          </w:r>
          <w:r>
            <w:instrText xml:space="preserve"> HYPERLINK \l _Toc3965 </w:instrText>
          </w:r>
          <w:r>
            <w:fldChar w:fldCharType="separate"/>
          </w:r>
          <w:r>
            <w:rPr>
              <w:rFonts w:hint="eastAsia"/>
              <w:lang w:val="en-US" w:eastAsia="zh-CN"/>
            </w:rPr>
            <w:t>（一）项目概况</w:t>
          </w:r>
          <w:r>
            <w:tab/>
          </w:r>
          <w:r>
            <w:fldChar w:fldCharType="begin"/>
          </w:r>
          <w:r>
            <w:instrText xml:space="preserve"> PAGEREF _Toc3965 \h </w:instrText>
          </w:r>
          <w:r>
            <w:fldChar w:fldCharType="separate"/>
          </w:r>
          <w:r>
            <w:t>1</w:t>
          </w:r>
          <w:r>
            <w:fldChar w:fldCharType="end"/>
          </w:r>
          <w:r>
            <w:fldChar w:fldCharType="end"/>
          </w:r>
        </w:p>
        <w:p>
          <w:pPr>
            <w:pStyle w:val="11"/>
            <w:tabs>
              <w:tab w:val="right" w:leader="dot" w:pos="9746"/>
            </w:tabs>
          </w:pPr>
          <w:r>
            <w:fldChar w:fldCharType="begin"/>
          </w:r>
          <w:r>
            <w:instrText xml:space="preserve"> HYPERLINK \l _Toc8717 </w:instrText>
          </w:r>
          <w:r>
            <w:fldChar w:fldCharType="separate"/>
          </w:r>
          <w:r>
            <w:rPr>
              <w:rFonts w:hint="eastAsia"/>
              <w:lang w:val="en-US" w:eastAsia="zh-CN"/>
            </w:rPr>
            <w:t>（二）项目绩效目标</w:t>
          </w:r>
          <w:r>
            <w:tab/>
          </w:r>
          <w:r>
            <w:fldChar w:fldCharType="begin"/>
          </w:r>
          <w:r>
            <w:instrText xml:space="preserve"> PAGEREF _Toc8717 \h </w:instrText>
          </w:r>
          <w:r>
            <w:fldChar w:fldCharType="separate"/>
          </w:r>
          <w:r>
            <w:t>7</w:t>
          </w:r>
          <w:r>
            <w:fldChar w:fldCharType="end"/>
          </w:r>
          <w:r>
            <w:fldChar w:fldCharType="end"/>
          </w:r>
        </w:p>
        <w:p>
          <w:pPr>
            <w:pStyle w:val="10"/>
            <w:tabs>
              <w:tab w:val="right" w:leader="dot" w:pos="9746"/>
            </w:tabs>
          </w:pPr>
          <w:r>
            <w:fldChar w:fldCharType="begin"/>
          </w:r>
          <w:r>
            <w:instrText xml:space="preserve"> HYPERLINK \l _Toc22906 </w:instrText>
          </w:r>
          <w:r>
            <w:fldChar w:fldCharType="separate"/>
          </w:r>
          <w:r>
            <w:rPr>
              <w:rFonts w:hint="eastAsia"/>
              <w:lang w:val="en-US" w:eastAsia="zh-CN"/>
            </w:rPr>
            <w:t>二、绩效评价工作开展情况</w:t>
          </w:r>
          <w:r>
            <w:tab/>
          </w:r>
          <w:r>
            <w:fldChar w:fldCharType="begin"/>
          </w:r>
          <w:r>
            <w:instrText xml:space="preserve"> PAGEREF _Toc22906 \h </w:instrText>
          </w:r>
          <w:r>
            <w:fldChar w:fldCharType="separate"/>
          </w:r>
          <w:r>
            <w:t>9</w:t>
          </w:r>
          <w:r>
            <w:fldChar w:fldCharType="end"/>
          </w:r>
          <w:r>
            <w:fldChar w:fldCharType="end"/>
          </w:r>
        </w:p>
        <w:p>
          <w:pPr>
            <w:pStyle w:val="11"/>
            <w:tabs>
              <w:tab w:val="right" w:leader="dot" w:pos="9746"/>
            </w:tabs>
          </w:pPr>
          <w:r>
            <w:fldChar w:fldCharType="begin"/>
          </w:r>
          <w:r>
            <w:instrText xml:space="preserve"> HYPERLINK \l _Toc1933 </w:instrText>
          </w:r>
          <w:r>
            <w:fldChar w:fldCharType="separate"/>
          </w:r>
          <w:r>
            <w:rPr>
              <w:rFonts w:hint="eastAsia"/>
              <w:lang w:val="en-US" w:eastAsia="zh-CN"/>
            </w:rPr>
            <w:t>（一）绩效评价目标</w:t>
          </w:r>
          <w:r>
            <w:tab/>
          </w:r>
          <w:r>
            <w:fldChar w:fldCharType="begin"/>
          </w:r>
          <w:r>
            <w:instrText xml:space="preserve"> PAGEREF _Toc1933 \h </w:instrText>
          </w:r>
          <w:r>
            <w:fldChar w:fldCharType="separate"/>
          </w:r>
          <w:r>
            <w:t>9</w:t>
          </w:r>
          <w:r>
            <w:fldChar w:fldCharType="end"/>
          </w:r>
          <w:r>
            <w:fldChar w:fldCharType="end"/>
          </w:r>
        </w:p>
        <w:p>
          <w:pPr>
            <w:pStyle w:val="11"/>
            <w:tabs>
              <w:tab w:val="right" w:leader="dot" w:pos="9746"/>
            </w:tabs>
          </w:pPr>
          <w:r>
            <w:fldChar w:fldCharType="begin"/>
          </w:r>
          <w:r>
            <w:instrText xml:space="preserve"> HYPERLINK \l _Toc23349 </w:instrText>
          </w:r>
          <w:r>
            <w:fldChar w:fldCharType="separate"/>
          </w:r>
          <w:r>
            <w:rPr>
              <w:rFonts w:hint="eastAsia"/>
              <w:lang w:val="en-US" w:eastAsia="zh-CN"/>
            </w:rPr>
            <w:t>（二）绩效评价对象和范围</w:t>
          </w:r>
          <w:r>
            <w:tab/>
          </w:r>
          <w:r>
            <w:fldChar w:fldCharType="begin"/>
          </w:r>
          <w:r>
            <w:instrText xml:space="preserve"> PAGEREF _Toc23349 \h </w:instrText>
          </w:r>
          <w:r>
            <w:fldChar w:fldCharType="separate"/>
          </w:r>
          <w:r>
            <w:t>9</w:t>
          </w:r>
          <w:r>
            <w:fldChar w:fldCharType="end"/>
          </w:r>
          <w:r>
            <w:fldChar w:fldCharType="end"/>
          </w:r>
        </w:p>
        <w:p>
          <w:pPr>
            <w:pStyle w:val="11"/>
            <w:tabs>
              <w:tab w:val="right" w:leader="dot" w:pos="9746"/>
            </w:tabs>
          </w:pPr>
          <w:r>
            <w:fldChar w:fldCharType="begin"/>
          </w:r>
          <w:r>
            <w:instrText xml:space="preserve"> HYPERLINK \l _Toc30149 </w:instrText>
          </w:r>
          <w:r>
            <w:fldChar w:fldCharType="separate"/>
          </w:r>
          <w:r>
            <w:rPr>
              <w:rFonts w:hint="eastAsia"/>
              <w:lang w:val="en-US" w:eastAsia="zh-CN"/>
            </w:rPr>
            <w:t>（三）绩效评价原则</w:t>
          </w:r>
          <w:r>
            <w:tab/>
          </w:r>
          <w:r>
            <w:fldChar w:fldCharType="begin"/>
          </w:r>
          <w:r>
            <w:instrText xml:space="preserve"> PAGEREF _Toc30149 \h </w:instrText>
          </w:r>
          <w:r>
            <w:fldChar w:fldCharType="separate"/>
          </w:r>
          <w:r>
            <w:t>9</w:t>
          </w:r>
          <w:r>
            <w:fldChar w:fldCharType="end"/>
          </w:r>
          <w:r>
            <w:fldChar w:fldCharType="end"/>
          </w:r>
        </w:p>
        <w:p>
          <w:pPr>
            <w:pStyle w:val="11"/>
            <w:tabs>
              <w:tab w:val="right" w:leader="dot" w:pos="9746"/>
            </w:tabs>
          </w:pPr>
          <w:r>
            <w:fldChar w:fldCharType="begin"/>
          </w:r>
          <w:r>
            <w:instrText xml:space="preserve"> HYPERLINK \l _Toc6121 </w:instrText>
          </w:r>
          <w:r>
            <w:fldChar w:fldCharType="separate"/>
          </w:r>
          <w:r>
            <w:rPr>
              <w:rFonts w:hint="eastAsia"/>
              <w:lang w:val="en-US" w:eastAsia="zh-CN"/>
            </w:rPr>
            <w:t>（四）绩效评价指标体系</w:t>
          </w:r>
          <w:r>
            <w:tab/>
          </w:r>
          <w:r>
            <w:fldChar w:fldCharType="begin"/>
          </w:r>
          <w:r>
            <w:instrText xml:space="preserve"> PAGEREF _Toc6121 \h </w:instrText>
          </w:r>
          <w:r>
            <w:fldChar w:fldCharType="separate"/>
          </w:r>
          <w:r>
            <w:t>10</w:t>
          </w:r>
          <w:r>
            <w:fldChar w:fldCharType="end"/>
          </w:r>
          <w:r>
            <w:fldChar w:fldCharType="end"/>
          </w:r>
        </w:p>
        <w:p>
          <w:pPr>
            <w:pStyle w:val="11"/>
            <w:tabs>
              <w:tab w:val="right" w:leader="dot" w:pos="9746"/>
            </w:tabs>
          </w:pPr>
          <w:r>
            <w:fldChar w:fldCharType="begin"/>
          </w:r>
          <w:r>
            <w:instrText xml:space="preserve"> HYPERLINK \l _Toc1206 </w:instrText>
          </w:r>
          <w:r>
            <w:fldChar w:fldCharType="separate"/>
          </w:r>
          <w:r>
            <w:rPr>
              <w:rFonts w:hint="eastAsia"/>
              <w:lang w:val="en-US" w:eastAsia="zh-CN"/>
            </w:rPr>
            <w:t>（五）绩效评价方法</w:t>
          </w:r>
          <w:r>
            <w:tab/>
          </w:r>
          <w:r>
            <w:fldChar w:fldCharType="begin"/>
          </w:r>
          <w:r>
            <w:instrText xml:space="preserve"> PAGEREF _Toc1206 \h </w:instrText>
          </w:r>
          <w:r>
            <w:fldChar w:fldCharType="separate"/>
          </w:r>
          <w:r>
            <w:t>18</w:t>
          </w:r>
          <w:r>
            <w:fldChar w:fldCharType="end"/>
          </w:r>
          <w:r>
            <w:fldChar w:fldCharType="end"/>
          </w:r>
        </w:p>
        <w:p>
          <w:pPr>
            <w:pStyle w:val="11"/>
            <w:tabs>
              <w:tab w:val="right" w:leader="dot" w:pos="9746"/>
            </w:tabs>
          </w:pPr>
          <w:r>
            <w:fldChar w:fldCharType="begin"/>
          </w:r>
          <w:r>
            <w:instrText xml:space="preserve"> HYPERLINK \l _Toc2707 </w:instrText>
          </w:r>
          <w:r>
            <w:fldChar w:fldCharType="separate"/>
          </w:r>
          <w:r>
            <w:rPr>
              <w:rFonts w:hint="eastAsia"/>
              <w:lang w:val="en-US" w:eastAsia="zh-CN"/>
            </w:rPr>
            <w:t>（六）绩效评价标准</w:t>
          </w:r>
          <w:r>
            <w:tab/>
          </w:r>
          <w:r>
            <w:fldChar w:fldCharType="begin"/>
          </w:r>
          <w:r>
            <w:instrText xml:space="preserve"> PAGEREF _Toc2707 \h </w:instrText>
          </w:r>
          <w:r>
            <w:fldChar w:fldCharType="separate"/>
          </w:r>
          <w:r>
            <w:t>19</w:t>
          </w:r>
          <w:r>
            <w:fldChar w:fldCharType="end"/>
          </w:r>
          <w:r>
            <w:fldChar w:fldCharType="end"/>
          </w:r>
        </w:p>
        <w:p>
          <w:pPr>
            <w:pStyle w:val="11"/>
            <w:tabs>
              <w:tab w:val="right" w:leader="dot" w:pos="9746"/>
            </w:tabs>
          </w:pPr>
          <w:r>
            <w:fldChar w:fldCharType="begin"/>
          </w:r>
          <w:r>
            <w:instrText xml:space="preserve"> HYPERLINK \l _Toc605 </w:instrText>
          </w:r>
          <w:r>
            <w:fldChar w:fldCharType="separate"/>
          </w:r>
          <w:r>
            <w:rPr>
              <w:rFonts w:hint="eastAsia"/>
              <w:lang w:val="en-US" w:eastAsia="zh-CN"/>
            </w:rPr>
            <w:t>（七）绩效评价依据</w:t>
          </w:r>
          <w:r>
            <w:tab/>
          </w:r>
          <w:r>
            <w:fldChar w:fldCharType="begin"/>
          </w:r>
          <w:r>
            <w:instrText xml:space="preserve"> PAGEREF _Toc605 \h </w:instrText>
          </w:r>
          <w:r>
            <w:fldChar w:fldCharType="separate"/>
          </w:r>
          <w:r>
            <w:t>19</w:t>
          </w:r>
          <w:r>
            <w:fldChar w:fldCharType="end"/>
          </w:r>
          <w:r>
            <w:fldChar w:fldCharType="end"/>
          </w:r>
        </w:p>
        <w:p>
          <w:pPr>
            <w:pStyle w:val="11"/>
            <w:tabs>
              <w:tab w:val="right" w:leader="dot" w:pos="9746"/>
            </w:tabs>
          </w:pPr>
          <w:r>
            <w:fldChar w:fldCharType="begin"/>
          </w:r>
          <w:r>
            <w:instrText xml:space="preserve"> HYPERLINK \l _Toc29779 </w:instrText>
          </w:r>
          <w:r>
            <w:fldChar w:fldCharType="separate"/>
          </w:r>
          <w:r>
            <w:rPr>
              <w:rFonts w:hint="eastAsia"/>
              <w:lang w:val="en-US" w:eastAsia="zh-CN"/>
            </w:rPr>
            <w:t>（八）绩效评价工作过程</w:t>
          </w:r>
          <w:r>
            <w:tab/>
          </w:r>
          <w:r>
            <w:fldChar w:fldCharType="begin"/>
          </w:r>
          <w:r>
            <w:instrText xml:space="preserve"> PAGEREF _Toc29779 \h </w:instrText>
          </w:r>
          <w:r>
            <w:fldChar w:fldCharType="separate"/>
          </w:r>
          <w:r>
            <w:t>20</w:t>
          </w:r>
          <w:r>
            <w:fldChar w:fldCharType="end"/>
          </w:r>
          <w:r>
            <w:fldChar w:fldCharType="end"/>
          </w:r>
        </w:p>
        <w:p>
          <w:pPr>
            <w:pStyle w:val="10"/>
            <w:tabs>
              <w:tab w:val="right" w:leader="dot" w:pos="9746"/>
            </w:tabs>
          </w:pPr>
          <w:r>
            <w:fldChar w:fldCharType="begin"/>
          </w:r>
          <w:r>
            <w:instrText xml:space="preserve"> HYPERLINK \l _Toc29220 </w:instrText>
          </w:r>
          <w:r>
            <w:fldChar w:fldCharType="separate"/>
          </w:r>
          <w:r>
            <w:rPr>
              <w:rFonts w:hint="eastAsia" w:ascii="宋体" w:hAnsi="宋体"/>
              <w:lang w:val="en-US" w:eastAsia="zh-CN"/>
            </w:rPr>
            <w:t>三、综合评价情况及评论结论</w:t>
          </w:r>
          <w:r>
            <w:tab/>
          </w:r>
          <w:r>
            <w:fldChar w:fldCharType="begin"/>
          </w:r>
          <w:r>
            <w:instrText xml:space="preserve"> PAGEREF _Toc29220 \h </w:instrText>
          </w:r>
          <w:r>
            <w:fldChar w:fldCharType="separate"/>
          </w:r>
          <w:r>
            <w:t>23</w:t>
          </w:r>
          <w:r>
            <w:fldChar w:fldCharType="end"/>
          </w:r>
          <w:r>
            <w:fldChar w:fldCharType="end"/>
          </w:r>
        </w:p>
        <w:p>
          <w:pPr>
            <w:pStyle w:val="11"/>
            <w:tabs>
              <w:tab w:val="right" w:leader="dot" w:pos="9746"/>
            </w:tabs>
          </w:pPr>
          <w:r>
            <w:fldChar w:fldCharType="begin"/>
          </w:r>
          <w:r>
            <w:instrText xml:space="preserve"> HYPERLINK \l _Toc7813 </w:instrText>
          </w:r>
          <w:r>
            <w:fldChar w:fldCharType="separate"/>
          </w:r>
          <w:r>
            <w:rPr>
              <w:rFonts w:hint="eastAsia"/>
              <w:lang w:val="en-US" w:eastAsia="zh-CN"/>
            </w:rPr>
            <w:t>（一）评分结果</w:t>
          </w:r>
          <w:r>
            <w:tab/>
          </w:r>
          <w:r>
            <w:fldChar w:fldCharType="begin"/>
          </w:r>
          <w:r>
            <w:instrText xml:space="preserve"> PAGEREF _Toc7813 \h </w:instrText>
          </w:r>
          <w:r>
            <w:fldChar w:fldCharType="separate"/>
          </w:r>
          <w:r>
            <w:t>23</w:t>
          </w:r>
          <w:r>
            <w:fldChar w:fldCharType="end"/>
          </w:r>
          <w:r>
            <w:fldChar w:fldCharType="end"/>
          </w:r>
        </w:p>
        <w:p>
          <w:pPr>
            <w:pStyle w:val="11"/>
            <w:tabs>
              <w:tab w:val="right" w:leader="dot" w:pos="9746"/>
            </w:tabs>
          </w:pPr>
          <w:r>
            <w:fldChar w:fldCharType="begin"/>
          </w:r>
          <w:r>
            <w:instrText xml:space="preserve"> HYPERLINK \l _Toc1297 </w:instrText>
          </w:r>
          <w:r>
            <w:fldChar w:fldCharType="separate"/>
          </w:r>
          <w:r>
            <w:rPr>
              <w:rFonts w:hint="eastAsia"/>
              <w:highlight w:val="none"/>
              <w:lang w:val="en-US" w:eastAsia="zh-CN"/>
            </w:rPr>
            <w:t>（二）主要绩效</w:t>
          </w:r>
          <w:r>
            <w:tab/>
          </w:r>
          <w:r>
            <w:fldChar w:fldCharType="begin"/>
          </w:r>
          <w:r>
            <w:instrText xml:space="preserve"> PAGEREF _Toc1297 \h </w:instrText>
          </w:r>
          <w:r>
            <w:fldChar w:fldCharType="separate"/>
          </w:r>
          <w:r>
            <w:t>23</w:t>
          </w:r>
          <w:r>
            <w:fldChar w:fldCharType="end"/>
          </w:r>
          <w:r>
            <w:fldChar w:fldCharType="end"/>
          </w:r>
        </w:p>
        <w:p>
          <w:pPr>
            <w:pStyle w:val="10"/>
            <w:tabs>
              <w:tab w:val="right" w:leader="dot" w:pos="9746"/>
            </w:tabs>
          </w:pPr>
          <w:r>
            <w:fldChar w:fldCharType="begin"/>
          </w:r>
          <w:r>
            <w:instrText xml:space="preserve"> HYPERLINK \l _Toc14031 </w:instrText>
          </w:r>
          <w:r>
            <w:fldChar w:fldCharType="separate"/>
          </w:r>
          <w:r>
            <w:rPr>
              <w:rFonts w:hint="eastAsia"/>
              <w:lang w:val="en-US" w:eastAsia="zh-CN"/>
            </w:rPr>
            <w:t>四、绩效评价指标分析</w:t>
          </w:r>
          <w:r>
            <w:tab/>
          </w:r>
          <w:r>
            <w:fldChar w:fldCharType="begin"/>
          </w:r>
          <w:r>
            <w:instrText xml:space="preserve"> PAGEREF _Toc14031 \h </w:instrText>
          </w:r>
          <w:r>
            <w:fldChar w:fldCharType="separate"/>
          </w:r>
          <w:r>
            <w:t>25</w:t>
          </w:r>
          <w:r>
            <w:fldChar w:fldCharType="end"/>
          </w:r>
          <w:r>
            <w:fldChar w:fldCharType="end"/>
          </w:r>
        </w:p>
        <w:p>
          <w:pPr>
            <w:pStyle w:val="11"/>
            <w:tabs>
              <w:tab w:val="right" w:leader="dot" w:pos="9746"/>
            </w:tabs>
          </w:pPr>
          <w:r>
            <w:fldChar w:fldCharType="begin"/>
          </w:r>
          <w:r>
            <w:instrText xml:space="preserve"> HYPERLINK \l _Toc14369 </w:instrText>
          </w:r>
          <w:r>
            <w:fldChar w:fldCharType="separate"/>
          </w:r>
          <w:r>
            <w:rPr>
              <w:rFonts w:hint="eastAsia"/>
              <w:lang w:val="en-US" w:eastAsia="zh-CN"/>
            </w:rPr>
            <w:t>（一）项目决策情况</w:t>
          </w:r>
          <w:r>
            <w:tab/>
          </w:r>
          <w:r>
            <w:fldChar w:fldCharType="begin"/>
          </w:r>
          <w:r>
            <w:instrText xml:space="preserve"> PAGEREF _Toc14369 \h </w:instrText>
          </w:r>
          <w:r>
            <w:fldChar w:fldCharType="separate"/>
          </w:r>
          <w:r>
            <w:t>25</w:t>
          </w:r>
          <w:r>
            <w:fldChar w:fldCharType="end"/>
          </w:r>
          <w:r>
            <w:fldChar w:fldCharType="end"/>
          </w:r>
        </w:p>
        <w:p>
          <w:pPr>
            <w:pStyle w:val="11"/>
            <w:tabs>
              <w:tab w:val="right" w:leader="dot" w:pos="9746"/>
            </w:tabs>
          </w:pPr>
          <w:r>
            <w:fldChar w:fldCharType="begin"/>
          </w:r>
          <w:r>
            <w:instrText xml:space="preserve"> HYPERLINK \l _Toc23675 </w:instrText>
          </w:r>
          <w:r>
            <w:fldChar w:fldCharType="separate"/>
          </w:r>
          <w:r>
            <w:rPr>
              <w:rFonts w:hint="eastAsia"/>
              <w:lang w:val="en-US" w:eastAsia="zh-CN"/>
            </w:rPr>
            <w:t>（二）项目管理情况</w:t>
          </w:r>
          <w:r>
            <w:tab/>
          </w:r>
          <w:r>
            <w:fldChar w:fldCharType="begin"/>
          </w:r>
          <w:r>
            <w:instrText xml:space="preserve"> PAGEREF _Toc23675 \h </w:instrText>
          </w:r>
          <w:r>
            <w:fldChar w:fldCharType="separate"/>
          </w:r>
          <w:r>
            <w:t>27</w:t>
          </w:r>
          <w:r>
            <w:fldChar w:fldCharType="end"/>
          </w:r>
          <w:r>
            <w:fldChar w:fldCharType="end"/>
          </w:r>
        </w:p>
        <w:p>
          <w:pPr>
            <w:pStyle w:val="11"/>
            <w:tabs>
              <w:tab w:val="right" w:leader="dot" w:pos="9746"/>
            </w:tabs>
          </w:pPr>
          <w:r>
            <w:fldChar w:fldCharType="begin"/>
          </w:r>
          <w:r>
            <w:instrText xml:space="preserve"> HYPERLINK \l _Toc29353 </w:instrText>
          </w:r>
          <w:r>
            <w:fldChar w:fldCharType="separate"/>
          </w:r>
          <w:r>
            <w:rPr>
              <w:rFonts w:hint="eastAsia"/>
              <w:lang w:val="en-US" w:eastAsia="zh-CN"/>
            </w:rPr>
            <w:t>（三）项目产出情况</w:t>
          </w:r>
          <w:r>
            <w:tab/>
          </w:r>
          <w:r>
            <w:fldChar w:fldCharType="begin"/>
          </w:r>
          <w:r>
            <w:instrText xml:space="preserve"> PAGEREF _Toc29353 \h </w:instrText>
          </w:r>
          <w:r>
            <w:fldChar w:fldCharType="separate"/>
          </w:r>
          <w:r>
            <w:t>31</w:t>
          </w:r>
          <w:r>
            <w:fldChar w:fldCharType="end"/>
          </w:r>
          <w:r>
            <w:fldChar w:fldCharType="end"/>
          </w:r>
        </w:p>
        <w:p>
          <w:pPr>
            <w:pStyle w:val="11"/>
            <w:tabs>
              <w:tab w:val="right" w:leader="dot" w:pos="9746"/>
            </w:tabs>
          </w:pPr>
          <w:r>
            <w:fldChar w:fldCharType="begin"/>
          </w:r>
          <w:r>
            <w:instrText xml:space="preserve"> HYPERLINK \l _Toc29147 </w:instrText>
          </w:r>
          <w:r>
            <w:fldChar w:fldCharType="separate"/>
          </w:r>
          <w:r>
            <w:rPr>
              <w:rFonts w:hint="eastAsia"/>
              <w:lang w:val="en-US" w:eastAsia="zh-CN"/>
            </w:rPr>
            <w:t>（四）项目效益情况</w:t>
          </w:r>
          <w:r>
            <w:tab/>
          </w:r>
          <w:r>
            <w:fldChar w:fldCharType="begin"/>
          </w:r>
          <w:r>
            <w:instrText xml:space="preserve"> PAGEREF _Toc29147 \h </w:instrText>
          </w:r>
          <w:r>
            <w:fldChar w:fldCharType="separate"/>
          </w:r>
          <w:r>
            <w:t>32</w:t>
          </w:r>
          <w:r>
            <w:fldChar w:fldCharType="end"/>
          </w:r>
          <w:r>
            <w:fldChar w:fldCharType="end"/>
          </w:r>
        </w:p>
        <w:p>
          <w:pPr>
            <w:pStyle w:val="10"/>
            <w:tabs>
              <w:tab w:val="right" w:leader="dot" w:pos="9746"/>
            </w:tabs>
          </w:pPr>
          <w:r>
            <w:fldChar w:fldCharType="begin"/>
          </w:r>
          <w:r>
            <w:instrText xml:space="preserve"> HYPERLINK \l _Toc3267 </w:instrText>
          </w:r>
          <w:r>
            <w:fldChar w:fldCharType="separate"/>
          </w:r>
          <w:r>
            <w:rPr>
              <w:rFonts w:hint="eastAsia"/>
              <w:highlight w:val="none"/>
              <w:lang w:val="en-US" w:eastAsia="zh-CN"/>
            </w:rPr>
            <w:t>五、存在的问题</w:t>
          </w:r>
          <w:r>
            <w:tab/>
          </w:r>
          <w:r>
            <w:fldChar w:fldCharType="begin"/>
          </w:r>
          <w:r>
            <w:instrText xml:space="preserve"> PAGEREF _Toc3267 \h </w:instrText>
          </w:r>
          <w:r>
            <w:fldChar w:fldCharType="separate"/>
          </w:r>
          <w:r>
            <w:t>36</w:t>
          </w:r>
          <w:r>
            <w:fldChar w:fldCharType="end"/>
          </w:r>
          <w:r>
            <w:fldChar w:fldCharType="end"/>
          </w:r>
        </w:p>
        <w:p>
          <w:pPr>
            <w:pStyle w:val="10"/>
            <w:tabs>
              <w:tab w:val="right" w:leader="dot" w:pos="9746"/>
            </w:tabs>
          </w:pPr>
          <w:r>
            <w:fldChar w:fldCharType="begin"/>
          </w:r>
          <w:r>
            <w:instrText xml:space="preserve"> HYPERLINK \l _Toc6532 </w:instrText>
          </w:r>
          <w:r>
            <w:fldChar w:fldCharType="separate"/>
          </w:r>
          <w:r>
            <w:rPr>
              <w:rFonts w:hint="eastAsia"/>
              <w:lang w:val="en-US" w:eastAsia="zh-CN"/>
            </w:rPr>
            <w:t>六、有关建议</w:t>
          </w:r>
          <w:r>
            <w:tab/>
          </w:r>
          <w:r>
            <w:fldChar w:fldCharType="begin"/>
          </w:r>
          <w:r>
            <w:instrText xml:space="preserve"> PAGEREF _Toc6532 \h </w:instrText>
          </w:r>
          <w:r>
            <w:fldChar w:fldCharType="separate"/>
          </w:r>
          <w:r>
            <w:t>38</w:t>
          </w:r>
          <w:r>
            <w:fldChar w:fldCharType="end"/>
          </w:r>
          <w:r>
            <w:fldChar w:fldCharType="end"/>
          </w:r>
        </w:p>
        <w:p>
          <w:pPr>
            <w:pStyle w:val="10"/>
            <w:tabs>
              <w:tab w:val="right" w:leader="dot" w:pos="9746"/>
            </w:tabs>
          </w:pPr>
          <w:r>
            <w:fldChar w:fldCharType="begin"/>
          </w:r>
          <w:r>
            <w:instrText xml:space="preserve"> HYPERLINK \l _Toc9734 </w:instrText>
          </w:r>
          <w:r>
            <w:fldChar w:fldCharType="separate"/>
          </w:r>
          <w:r>
            <w:rPr>
              <w:rFonts w:hint="eastAsia"/>
              <w:lang w:val="en-US" w:eastAsia="zh-CN"/>
            </w:rPr>
            <w:t>七、附件：伊通满族自治县二次供水改造工程项目打分表</w:t>
          </w:r>
          <w:r>
            <w:tab/>
          </w:r>
          <w:r>
            <w:fldChar w:fldCharType="begin"/>
          </w:r>
          <w:r>
            <w:instrText xml:space="preserve"> PAGEREF _Toc9734 \h </w:instrText>
          </w:r>
          <w:r>
            <w:fldChar w:fldCharType="separate"/>
          </w:r>
          <w:r>
            <w:t>41</w:t>
          </w:r>
          <w:r>
            <w:fldChar w:fldCharType="end"/>
          </w:r>
          <w:r>
            <w:fldChar w:fldCharType="end"/>
          </w:r>
        </w:p>
        <w:p>
          <w:r>
            <w:fldChar w:fldCharType="end"/>
          </w:r>
        </w:p>
      </w:sdtContent>
    </w:sdt>
    <w:p>
      <w:pPr>
        <w:jc w:val="center"/>
        <w:rPr>
          <w:rFonts w:hint="eastAsia" w:ascii="Times New Roman" w:hAnsi="Times New Roman" w:eastAsia="仿宋_GB2312" w:cs="Times New Roman"/>
          <w:sz w:val="32"/>
          <w:szCs w:val="32"/>
          <w:lang w:val="en-US" w:eastAsia="zh-CN"/>
        </w:rPr>
        <w:sectPr>
          <w:pgSz w:w="11906" w:h="16838"/>
          <w:pgMar w:top="1440" w:right="1080" w:bottom="1440" w:left="1080" w:header="851" w:footer="850"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引言</w:t>
      </w:r>
      <w:bookmarkEnd w:id="30"/>
    </w:p>
    <w:p>
      <w:pPr>
        <w:ind w:firstLine="64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落实党中央、国务院决策部署，加强地方政府专项债券项目资金绩效管理，提高专项债券资金使用效益，有效防范政府债务风险，根据财政部印发《项目支出绩效评价管理办法》（财预〔2020〕10号）、财政部印发《地方政府专项债券项目资金绩效管理办法》（财预〔2021〕61号）、《中共吉林省委吉林省人民政府关于全面实施预算绩效管理的实施意见》（吉发〔2019〕10号）、《吉林省财政厅关于印发&lt;贯彻落实全面实施预算绩效管理实施意见的工作方案（2019-2020年）&gt;的通知》（吉财绩〔2019〕406号）、《关于印发&lt;吉林省项目支出绩效评价管理暂行办法&gt;的通知》（吉财绩〔2020〕711号）和吉林省财政厅印发的《吉林省地方政府专项债券项目资金绩效管理办法（试行）》（吉财债〔2021〕1044号）等相关规定，吉林省绩效评价咨询有限公司受吉林省伊通满族自治县财政局的委托，针对伊通满族自治县二次供水改造工程项目开展绩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本次评价适用于对伊通满族自治县二次供水改造工程项目（以下简称“本项目”）绩效评价（指在建工程“事中评价”，以下简称“绩效评价”）。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本次评价所称的项目资金，是指本项目的执行主体为完成既定的各种指标和社会经济发展目标，通过申请债券资金、财政预算资金、财政奖补资金及建设单位自筹的方式，所构成的仅用于该项目的资金。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p>
    <w:p>
      <w:pPr>
        <w:rPr>
          <w:rFonts w:hint="eastAsia"/>
          <w:lang w:val="en-US" w:eastAsia="zh-CN"/>
        </w:rPr>
        <w:sectPr>
          <w:footerReference r:id="rId3" w:type="default"/>
          <w:pgSz w:w="11906" w:h="16838"/>
          <w:pgMar w:top="1440" w:right="1080" w:bottom="1440" w:left="1080" w:header="851" w:footer="850" w:gutter="0"/>
          <w:pgNumType w:fmt="decimal" w:start="1"/>
          <w:cols w:space="720" w:num="1"/>
          <w:docGrid w:type="lines" w:linePitch="312" w:charSpace="0"/>
        </w:sectPr>
      </w:pPr>
    </w:p>
    <w:p>
      <w:pPr>
        <w:pStyle w:val="3"/>
        <w:bidi w:val="0"/>
        <w:rPr>
          <w:rFonts w:hint="eastAsia"/>
          <w:lang w:eastAsia="zh-CN"/>
        </w:rPr>
      </w:pPr>
      <w:bookmarkStart w:id="31" w:name="_Toc2354"/>
      <w:r>
        <w:rPr>
          <w:rFonts w:hint="eastAsia"/>
          <w:lang w:eastAsia="zh-CN"/>
        </w:rPr>
        <w:t>一、基本情况</w:t>
      </w:r>
      <w:bookmarkEnd w:id="31"/>
    </w:p>
    <w:p>
      <w:pPr>
        <w:pStyle w:val="4"/>
        <w:bidi w:val="0"/>
        <w:rPr>
          <w:rFonts w:hint="eastAsia"/>
          <w:lang w:val="en-US" w:eastAsia="zh-CN"/>
        </w:rPr>
      </w:pPr>
      <w:bookmarkStart w:id="32" w:name="_Toc3965"/>
      <w:r>
        <w:rPr>
          <w:rFonts w:hint="eastAsia"/>
          <w:lang w:val="en-US" w:eastAsia="zh-CN"/>
        </w:rPr>
        <w:t>（一）项目概况</w:t>
      </w:r>
      <w:bookmarkEnd w:id="32"/>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1.项目背景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《中华人民共和国国民经济和社会发展第十二个五年规划纲要》</w:t>
      </w:r>
      <w:r>
        <w:rPr>
          <w:rFonts w:hint="eastAsia" w:ascii="Times New Roman" w:hAnsi="Times New Roman" w:eastAsia="仿宋_GB2312" w:cs="Times New Roman"/>
          <w:sz w:val="32"/>
          <w:szCs w:val="32"/>
          <w:lang w:val="en-US" w:eastAsia="zh-CN"/>
        </w:rPr>
        <w:t>指出：统筹地上地下市政公用设施建设，全面提升交通、通信、供电、供热、供气、供排水、污水垃圾处理等基础设施水平，增强消防等防灾能力</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《关于加强城市地下管线建设管理的指导意见》（国办发〔2014〕27号），加强城市地下管线维修、养护和改造，提高管理水平，及时发现、消除事故隐患，切实保障地下管线安全运行。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《住房城乡建设部国家发展改革委关于进一步加强城市节水工作的通知》（建城</w:t>
      </w:r>
      <w:r>
        <w:rPr>
          <w:rFonts w:hint="default" w:ascii="Times New Roman" w:hAnsi="Times New Roman" w:eastAsia="仿宋_GB2312" w:cs="Times New Roman"/>
          <w:sz w:val="32"/>
          <w:szCs w:val="32"/>
          <w:lang w:val="en-US" w:eastAsia="zh-CN"/>
        </w:rPr>
        <w:t>〔2014〕</w:t>
      </w:r>
      <w:r>
        <w:rPr>
          <w:rFonts w:hint="eastAsia" w:ascii="Times New Roman" w:hAnsi="Times New Roman" w:eastAsia="仿宋_GB2312" w:cs="Times New Roman"/>
          <w:sz w:val="32"/>
          <w:szCs w:val="32"/>
          <w:lang w:val="en-US" w:eastAsia="zh-CN"/>
        </w:rPr>
        <w:t>114号）</w:t>
      </w:r>
      <w:r>
        <w:rPr>
          <w:rFonts w:hint="default" w:ascii="Times New Roman" w:hAnsi="Times New Roman" w:eastAsia="仿宋_GB2312" w:cs="Times New Roman"/>
          <w:sz w:val="32"/>
          <w:szCs w:val="32"/>
          <w:lang w:val="en-US" w:eastAsia="zh-CN"/>
        </w:rPr>
        <w:t>明确提出了改造使用年限超过50年、材质落后和漏损严重的供排水管网</w:t>
      </w:r>
      <w:r>
        <w:rPr>
          <w:rFonts w:hint="eastAsia" w:ascii="Times New Roman" w:hAnsi="Times New Roman" w:eastAsia="仿宋_GB2312" w:cs="Times New Roman"/>
          <w:sz w:val="32"/>
          <w:szCs w:val="32"/>
          <w:lang w:val="en-US" w:eastAsia="zh-CN"/>
        </w:rPr>
        <w:t>，确保公共供水管网漏损率达到国家标准要求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《吉林省国民经济和社会发展第十二个五年规划纲要》指出：</w:t>
      </w:r>
      <w:r>
        <w:rPr>
          <w:rFonts w:hint="eastAsia" w:ascii="Times New Roman" w:hAnsi="Times New Roman" w:eastAsia="仿宋_GB2312" w:cs="Times New Roman"/>
          <w:sz w:val="32"/>
          <w:szCs w:val="32"/>
          <w:lang w:val="en-US" w:eastAsia="zh-CN"/>
        </w:rPr>
        <w:t>加快市政公用设施建设。提高城市供水能力，重点实施中部饮水工程建设，强化城市集中式饮用水源地治理保护，保障城市供水安全，供水普及率达到95%</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sectPr>
          <w:footerReference r:id="rId4" w:type="default"/>
          <w:pgSz w:w="11906" w:h="16838"/>
          <w:pgMar w:top="1440" w:right="1080" w:bottom="1440" w:left="1080" w:header="851" w:footer="992" w:gutter="0"/>
          <w:pgNumType w:fmt="decimal" w:start="1"/>
          <w:cols w:space="425" w:num="1"/>
          <w:docGrid w:type="lines" w:linePitch="312" w:charSpace="0"/>
        </w:sectPr>
      </w:pPr>
      <w:r>
        <w:rPr>
          <w:rFonts w:hint="eastAsia" w:ascii="Times New Roman" w:hAnsi="Times New Roman" w:eastAsia="仿宋_GB2312" w:cs="Times New Roman"/>
          <w:sz w:val="32"/>
          <w:szCs w:val="32"/>
          <w:lang w:val="en-US" w:eastAsia="zh-CN"/>
        </w:rPr>
        <w:t>《吉林省人民政府办公厅关于开展城市二次供水改造工程建设的实施意见》要求：以保障城市居民饮用水水质水量安全为目的，以改造</w:t>
      </w:r>
      <w:r>
        <w:rPr>
          <w:rFonts w:hint="eastAsia" w:ascii="Times New Roman" w:hAnsi="Times New Roman" w:eastAsia="仿宋_GB2312" w:cs="Times New Roman"/>
          <w:sz w:val="32"/>
          <w:szCs w:val="32"/>
          <w:highlight w:val="none"/>
          <w:lang w:val="en-US" w:eastAsia="zh-CN"/>
        </w:rPr>
        <w:t>老旧散小</w:t>
      </w:r>
      <w:r>
        <w:rPr>
          <w:rFonts w:hint="eastAsia" w:ascii="Times New Roman" w:hAnsi="Times New Roman" w:eastAsia="仿宋_GB2312" w:cs="Times New Roman"/>
          <w:sz w:val="32"/>
          <w:szCs w:val="32"/>
          <w:lang w:val="en-US" w:eastAsia="zh-CN"/>
        </w:rPr>
        <w:t>二次供水设施及陈旧管网为重点，以理顺管理体制、规范水价为手段，集中时间、集中力量，统筹推进全省城市二次供水改造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工程，实现全省城市二次供水设施全更新、城市居民24小时供水全覆盖、饮用水水质水量和应急保障能力大幅提升。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伊通满族自治县人民政府根据上级要求及《伊通满族自治县城市总体规划》（2010-2030），</w:t>
      </w:r>
      <w:r>
        <w:rPr>
          <w:rFonts w:hint="eastAsia" w:ascii="Times New Roman" w:hAnsi="Times New Roman" w:eastAsia="仿宋_GB2312" w:cs="Times New Roman"/>
          <w:sz w:val="32"/>
          <w:szCs w:val="32"/>
          <w:highlight w:val="none"/>
          <w:lang w:val="en-US" w:eastAsia="zh-CN"/>
        </w:rPr>
        <w:t>结合</w:t>
      </w:r>
      <w:r>
        <w:rPr>
          <w:rFonts w:hint="eastAsia" w:ascii="Times New Roman" w:hAnsi="Times New Roman" w:eastAsia="仿宋_GB2312" w:cs="Times New Roman"/>
          <w:sz w:val="32"/>
          <w:szCs w:val="32"/>
          <w:lang w:val="en-US" w:eastAsia="zh-CN"/>
        </w:rPr>
        <w:t>伊通满族自治县配水管网实际情况，本着满足日益增长的城市用水要求，缓解供需矛盾，提高供水质量，改善居民生活条件，促进社会稳定发展及繁荣社会经济，提出“二次供水改造工程项目”，由伊通满族自治县自来水公司负责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2.主要内容及实施情况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项目主管单位为伊通满族自治县自来水公司。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项目施工单位为</w:t>
      </w:r>
      <w:r>
        <w:rPr>
          <w:rFonts w:hint="eastAsia" w:ascii="Times New Roman" w:hAnsi="Times New Roman" w:eastAsia="仿宋_GB2312" w:cs="Times New Roman"/>
          <w:sz w:val="32"/>
          <w:szCs w:val="32"/>
          <w:highlight w:val="none"/>
          <w:lang w:val="en-US" w:eastAsia="zh-CN"/>
        </w:rPr>
        <w:t>吉林省乾旭建业集团有限公司</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建设地点</w:t>
      </w:r>
      <w:r>
        <w:rPr>
          <w:rFonts w:hint="eastAsia" w:ascii="Times New Roman" w:hAnsi="Times New Roman" w:eastAsia="仿宋_GB2312" w:cs="Times New Roman"/>
          <w:sz w:val="32"/>
          <w:szCs w:val="32"/>
          <w:lang w:val="en-US" w:eastAsia="zh-CN"/>
        </w:rPr>
        <w:t>位于</w:t>
      </w:r>
      <w:r>
        <w:rPr>
          <w:rFonts w:hint="default" w:ascii="Times New Roman" w:hAnsi="Times New Roman" w:eastAsia="仿宋_GB2312" w:cs="Times New Roman"/>
          <w:sz w:val="32"/>
          <w:szCs w:val="32"/>
          <w:lang w:val="en-US" w:eastAsia="zh-CN"/>
        </w:rPr>
        <w:t>伊通镇内。</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根据《关于伊通满族自治县二次供水改造工程可行性研究报告的批复》（伊发改字〔2015〕158号）的建设内容为：</w:t>
      </w:r>
      <w:r>
        <w:rPr>
          <w:rFonts w:hint="default" w:ascii="Times New Roman" w:hAnsi="Times New Roman" w:eastAsia="仿宋_GB2312" w:cs="Times New Roman"/>
          <w:sz w:val="32"/>
          <w:szCs w:val="32"/>
          <w:lang w:val="en-US" w:eastAsia="zh-CN"/>
        </w:rPr>
        <w:t>二次供水设施</w:t>
      </w:r>
      <w:r>
        <w:rPr>
          <w:rFonts w:hint="default" w:ascii="Times New Roman" w:hAnsi="Times New Roman" w:eastAsia="仿宋_GB2312" w:cs="Times New Roman"/>
          <w:sz w:val="32"/>
          <w:szCs w:val="32"/>
          <w:highlight w:val="none"/>
          <w:lang w:val="en-US" w:eastAsia="zh-CN"/>
        </w:rPr>
        <w:t>撤并</w:t>
      </w:r>
      <w:r>
        <w:rPr>
          <w:rFonts w:hint="default" w:ascii="Times New Roman" w:hAnsi="Times New Roman" w:eastAsia="仿宋_GB2312" w:cs="Times New Roman"/>
          <w:sz w:val="32"/>
          <w:szCs w:val="32"/>
          <w:lang w:val="en-US" w:eastAsia="zh-CN"/>
        </w:rPr>
        <w:t>改造之前泵站为21座，撤并改造后期泵站数量为14座，其中改造泵站8座，新建泵站6座，二次供水管网改造长度为25.215</w:t>
      </w:r>
      <w:r>
        <w:rPr>
          <w:rFonts w:hint="eastAsia" w:ascii="Times New Roman" w:hAnsi="Times New Roman" w:eastAsia="仿宋_GB2312" w:cs="Times New Roman"/>
          <w:sz w:val="32"/>
          <w:szCs w:val="32"/>
          <w:lang w:val="en-US" w:eastAsia="zh-CN"/>
        </w:rPr>
        <w:t>km</w:t>
      </w:r>
      <w:r>
        <w:rPr>
          <w:rFonts w:hint="default" w:ascii="Times New Roman" w:hAnsi="Times New Roman" w:eastAsia="仿宋_GB2312" w:cs="Times New Roman"/>
          <w:sz w:val="32"/>
          <w:szCs w:val="32"/>
          <w:lang w:val="en-US" w:eastAsia="zh-CN"/>
        </w:rPr>
        <w:t>；改造的楼内管网长度约250</w:t>
      </w:r>
      <w:r>
        <w:rPr>
          <w:rFonts w:hint="eastAsia" w:ascii="Times New Roman" w:hAnsi="Times New Roman" w:eastAsia="仿宋_GB2312" w:cs="Times New Roman"/>
          <w:sz w:val="32"/>
          <w:szCs w:val="32"/>
          <w:lang w:val="en-US" w:eastAsia="zh-CN"/>
        </w:rPr>
        <w:t>km</w:t>
      </w:r>
      <w:r>
        <w:rPr>
          <w:rFonts w:hint="default" w:ascii="Times New Roman" w:hAnsi="Times New Roman" w:eastAsia="仿宋_GB2312" w:cs="Times New Roman"/>
          <w:sz w:val="32"/>
          <w:szCs w:val="32"/>
          <w:lang w:val="en-US" w:eastAsia="zh-CN"/>
        </w:rPr>
        <w:t>，水表出户改造9800块；二次供水改造工程泵房对流量、压力、水质余氯、浊度、PH值常规指标检测，配置相关仪表设备，工程检测系统设备14套；中心控制系统1套。</w:t>
      </w:r>
      <w:r>
        <w:rPr>
          <w:rFonts w:hint="eastAsia" w:ascii="Times New Roman" w:hAnsi="Times New Roman" w:eastAsia="仿宋_GB2312" w:cs="Times New Roman"/>
          <w:sz w:val="32"/>
          <w:szCs w:val="32"/>
          <w:lang w:val="en-US" w:eastAsia="zh-CN"/>
        </w:rPr>
        <w:t>建设期为：2014年—2016年，项目总投资7908.78万元。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关于伊通满族自治县二次供水改造工程项目变更建设工期的申请》（伊住建请〔2021〕82号）文件，项目于2014年开工，已完成投资4887.2万元，已完成工程量61%，①完成部分二次供水管网的改造工程；②完成8个泵房的部分改造工程；③完成新建5座泵房以及相应配套建设。因缺少建设资金，该项目于2016年至今暂停建设，为加快推荐项目建设，拟2021年申请国家专项债券1200万元，建议予以调整延长项目建设工期至2022年12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根据《关于伊通满族自治县二次供水改造工程建设工期延期的通知》（伊发改发〔2021〕42号）文件，为加快项目建设，经研究，同意伊通满族自治县二次供水改造工程的建设工期延至2022年12月。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项目建设期为20</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年至20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12月</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于2014年11月25日开工建设，截止2022年5月31日，项目现已完成总工程内容的71%，①完成部分二次供水管网的改造工程，②完成8个泵房的部分改造工程，③完成新建5座泵房以及相应配套建设。2021年10月7日完成财政局、县医院泵站工艺工程，人民大路西泵站工艺工程，财政局、县医院泵站的给水和道路拆除及恢复工程。11月30日完成人民大路西泵站给水工程及道路拆除恢复工程、电气工程、仪表工程，县医院及财政局泵站电气和仪表工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项目现状照片如下：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3012440" cy="2497455"/>
            <wp:effectExtent l="0" t="0" r="16510" b="17145"/>
            <wp:docPr id="1" name="图片 1" descr="微信图片_2022061609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16094006"/>
                    <pic:cNvPicPr>
                      <a:picLocks noChangeAspect="1"/>
                    </pic:cNvPicPr>
                  </pic:nvPicPr>
                  <pic:blipFill>
                    <a:blip r:embed="rId7"/>
                    <a:stretch>
                      <a:fillRect/>
                    </a:stretch>
                  </pic:blipFill>
                  <pic:spPr>
                    <a:xfrm>
                      <a:off x="0" y="0"/>
                      <a:ext cx="3012440" cy="2497455"/>
                    </a:xfrm>
                    <a:prstGeom prst="rect">
                      <a:avLst/>
                    </a:prstGeom>
                  </pic:spPr>
                </pic:pic>
              </a:graphicData>
            </a:graphic>
          </wp:inline>
        </w:drawing>
      </w:r>
      <w:r>
        <w:rPr>
          <w:rFonts w:hint="default" w:ascii="Times New Roman" w:hAnsi="Times New Roman" w:eastAsia="仿宋_GB2312" w:cs="Times New Roman"/>
          <w:sz w:val="32"/>
          <w:szCs w:val="32"/>
          <w:lang w:val="en-US" w:eastAsia="zh-CN"/>
        </w:rPr>
        <w:drawing>
          <wp:inline distT="0" distB="0" distL="114300" distR="114300">
            <wp:extent cx="2891155" cy="2513965"/>
            <wp:effectExtent l="0" t="0" r="4445" b="635"/>
            <wp:docPr id="2" name="图片 2" descr="微信图片_20220616094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60940062"/>
                    <pic:cNvPicPr>
                      <a:picLocks noChangeAspect="1"/>
                    </pic:cNvPicPr>
                  </pic:nvPicPr>
                  <pic:blipFill>
                    <a:blip r:embed="rId8"/>
                    <a:stretch>
                      <a:fillRect/>
                    </a:stretch>
                  </pic:blipFill>
                  <pic:spPr>
                    <a:xfrm>
                      <a:off x="0" y="0"/>
                      <a:ext cx="2891155" cy="2513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2985135" cy="2541905"/>
            <wp:effectExtent l="0" t="0" r="5715" b="10795"/>
            <wp:docPr id="5" name="图片 5" descr="微信图片_20220616094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160940067"/>
                    <pic:cNvPicPr>
                      <a:picLocks noChangeAspect="1"/>
                    </pic:cNvPicPr>
                  </pic:nvPicPr>
                  <pic:blipFill>
                    <a:blip r:embed="rId9"/>
                    <a:stretch>
                      <a:fillRect/>
                    </a:stretch>
                  </pic:blipFill>
                  <pic:spPr>
                    <a:xfrm>
                      <a:off x="0" y="0"/>
                      <a:ext cx="2985135" cy="2541905"/>
                    </a:xfrm>
                    <a:prstGeom prst="rect">
                      <a:avLst/>
                    </a:prstGeom>
                  </pic:spPr>
                </pic:pic>
              </a:graphicData>
            </a:graphic>
          </wp:inline>
        </w:drawing>
      </w:r>
      <w:r>
        <w:rPr>
          <w:rFonts w:hint="default" w:ascii="Times New Roman" w:hAnsi="Times New Roman" w:eastAsia="仿宋_GB2312" w:cs="Times New Roman"/>
          <w:sz w:val="32"/>
          <w:szCs w:val="32"/>
          <w:lang w:val="en-US" w:eastAsia="zh-CN"/>
        </w:rPr>
        <w:drawing>
          <wp:inline distT="0" distB="0" distL="114300" distR="114300">
            <wp:extent cx="2898775" cy="2560320"/>
            <wp:effectExtent l="0" t="0" r="15875" b="11430"/>
            <wp:docPr id="6" name="图片 6" descr="微信图片_20220616094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6160940069"/>
                    <pic:cNvPicPr>
                      <a:picLocks noChangeAspect="1"/>
                    </pic:cNvPicPr>
                  </pic:nvPicPr>
                  <pic:blipFill>
                    <a:blip r:embed="rId10"/>
                    <a:stretch>
                      <a:fillRect/>
                    </a:stretch>
                  </pic:blipFill>
                  <pic:spPr>
                    <a:xfrm>
                      <a:off x="0" y="0"/>
                      <a:ext cx="2898775" cy="25603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3.资金投入和使用情况等。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关于伊通满族自治县二次供水改造工程可行性研究报告的批复》（伊发改字〔2015〕158号）、《伊通满族自治县二次供水改造工程项目收益与融资自求平衡方案》等文件，项目总投资7908.78万元；其中申请2021年债券资金1200.00万元，剩余资金6708.78万元分别来自财政预算、财政奖补及建设单位自筹。专项债券资金已全部到达财政。</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截止目前，资金到达项目单位及支出情况见表1-1与表1-2。</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表1-1 资金到位情况表</w:t>
      </w:r>
    </w:p>
    <w:p>
      <w:pPr>
        <w:jc w:val="right"/>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5"/>
        <w:tblW w:w="4988" w:type="pct"/>
        <w:jc w:val="center"/>
        <w:tblLayout w:type="autofit"/>
        <w:tblCellMar>
          <w:top w:w="0" w:type="dxa"/>
          <w:left w:w="108" w:type="dxa"/>
          <w:bottom w:w="0" w:type="dxa"/>
          <w:right w:w="108" w:type="dxa"/>
        </w:tblCellMar>
      </w:tblPr>
      <w:tblGrid>
        <w:gridCol w:w="779"/>
        <w:gridCol w:w="2797"/>
        <w:gridCol w:w="2503"/>
        <w:gridCol w:w="3859"/>
      </w:tblGrid>
      <w:tr>
        <w:tblPrEx>
          <w:tblCellMar>
            <w:top w:w="0" w:type="dxa"/>
            <w:left w:w="108" w:type="dxa"/>
            <w:bottom w:w="0" w:type="dxa"/>
            <w:right w:w="108" w:type="dxa"/>
          </w:tblCellMar>
        </w:tblPrEx>
        <w:trPr>
          <w:trHeight w:val="481" w:hRule="atLeast"/>
          <w:tblHeader/>
          <w:jc w:val="center"/>
        </w:trPr>
        <w:tc>
          <w:tcPr>
            <w:tcW w:w="392"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序号</w:t>
            </w:r>
          </w:p>
        </w:tc>
        <w:tc>
          <w:tcPr>
            <w:tcW w:w="1406" w:type="pct"/>
            <w:tcBorders>
              <w:top w:val="single" w:color="000000" w:sz="4" w:space="0"/>
              <w:left w:val="single" w:color="000000" w:sz="4" w:space="0"/>
              <w:bottom w:val="single" w:color="auto" w:sz="4" w:space="0"/>
              <w:right w:val="single" w:color="000000" w:sz="4" w:space="0"/>
            </w:tcBorders>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资金来源</w:t>
            </w:r>
          </w:p>
        </w:tc>
        <w:tc>
          <w:tcPr>
            <w:tcW w:w="1259"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资金到位日期</w:t>
            </w:r>
          </w:p>
        </w:tc>
        <w:tc>
          <w:tcPr>
            <w:tcW w:w="194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2"/>
                <w:sz w:val="24"/>
                <w:szCs w:val="24"/>
                <w:u w:val="none"/>
                <w:lang w:val="en-US" w:eastAsia="zh-CN" w:bidi="ar-SA"/>
              </w:rPr>
              <w:t>到位金额（万元）</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地方财政拨款（局拨）</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2014.12.16</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center" w:pos="163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w:t>
            </w:r>
            <w:r>
              <w:rPr>
                <w:rFonts w:hint="eastAsia" w:ascii="仿宋" w:hAnsi="仿宋" w:eastAsia="仿宋" w:cs="仿宋"/>
                <w:i w:val="0"/>
                <w:iCs w:val="0"/>
                <w:color w:val="000000"/>
                <w:kern w:val="2"/>
                <w:sz w:val="24"/>
                <w:szCs w:val="24"/>
                <w:highlight w:val="none"/>
                <w:u w:val="none"/>
                <w:lang w:val="en-US" w:eastAsia="zh-CN" w:bidi="ar-SA"/>
              </w:rPr>
              <w:tab/>
            </w:r>
            <w:r>
              <w:rPr>
                <w:rFonts w:hint="eastAsia" w:ascii="仿宋" w:hAnsi="仿宋" w:eastAsia="仿宋" w:cs="仿宋"/>
                <w:i w:val="0"/>
                <w:iCs w:val="0"/>
                <w:color w:val="000000"/>
                <w:kern w:val="2"/>
                <w:sz w:val="24"/>
                <w:szCs w:val="24"/>
                <w:highlight w:val="none"/>
                <w:u w:val="none"/>
                <w:lang w:val="en-US" w:eastAsia="zh-CN" w:bidi="ar-SA"/>
              </w:rPr>
              <w:t>（奖补）</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2014.12.25</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369.00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2014.11.1</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71.52</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sum(D2:D4)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540.52</w:t>
            </w:r>
            <w:r>
              <w:rPr>
                <w:rFonts w:hint="eastAsia" w:ascii="仿宋" w:hAnsi="仿宋" w:eastAsia="仿宋" w:cs="仿宋"/>
                <w:b/>
                <w:bCs/>
                <w:i w:val="0"/>
                <w:iCs w:val="0"/>
                <w:color w:val="000000"/>
                <w:kern w:val="0"/>
                <w:sz w:val="24"/>
                <w:szCs w:val="24"/>
                <w:highlight w:val="none"/>
                <w:u w:val="none"/>
                <w:lang w:val="en-US" w:eastAsia="zh-CN" w:bidi="ar"/>
              </w:rPr>
              <w:fldChar w:fldCharType="end"/>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4</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2015.1.30</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35.7128</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5</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地方财政拨款（奖补）</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2015.5.26</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6</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2015.5.28</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7</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地方财政拨款（奖补）</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2015.10.27</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8</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2015.10.15</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14.65</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9</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2015.10.27</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10</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2015.12.29</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11</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地方财政拨款（奖补）</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2015.12.27</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300.00</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sum(D6:D13)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781.3628</w:t>
            </w:r>
            <w:r>
              <w:rPr>
                <w:rFonts w:hint="eastAsia" w:ascii="仿宋" w:hAnsi="仿宋" w:eastAsia="仿宋" w:cs="仿宋"/>
                <w:b/>
                <w:bCs/>
                <w:i w:val="0"/>
                <w:iCs w:val="0"/>
                <w:color w:val="000000"/>
                <w:kern w:val="0"/>
                <w:sz w:val="24"/>
                <w:szCs w:val="24"/>
                <w:highlight w:val="none"/>
                <w:u w:val="none"/>
                <w:lang w:val="en-US" w:eastAsia="zh-CN" w:bidi="ar"/>
              </w:rPr>
              <w:fldChar w:fldCharType="end"/>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12</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地方财政拨款（局拨）</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2016.1.8</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13</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地方财政拨款（奖补）</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2016.4.26</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39.00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14</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2016.5.9</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28.7768</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15</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2016.8.18</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16.10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16</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2016.9.30</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17</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2016.12.9</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18</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2016.12.9</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22.6644</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sum(D15:D21)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937.5412</w:t>
            </w:r>
            <w:r>
              <w:rPr>
                <w:rFonts w:hint="eastAsia" w:ascii="仿宋" w:hAnsi="仿宋" w:eastAsia="仿宋" w:cs="仿宋"/>
                <w:b/>
                <w:bCs/>
                <w:i w:val="0"/>
                <w:iCs w:val="0"/>
                <w:color w:val="000000"/>
                <w:kern w:val="0"/>
                <w:sz w:val="24"/>
                <w:szCs w:val="24"/>
                <w:highlight w:val="none"/>
                <w:u w:val="none"/>
                <w:lang w:val="en-US" w:eastAsia="zh-CN" w:bidi="ar"/>
              </w:rPr>
              <w:fldChar w:fldCharType="end"/>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19</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2017.3.31</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2017.8.7</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40.00</w:t>
            </w:r>
          </w:p>
        </w:tc>
      </w:tr>
      <w:tr>
        <w:tblPrEx>
          <w:tblCellMar>
            <w:top w:w="0" w:type="dxa"/>
            <w:left w:w="108" w:type="dxa"/>
            <w:bottom w:w="0" w:type="dxa"/>
            <w:right w:w="108" w:type="dxa"/>
          </w:tblCellMar>
        </w:tblPrEx>
        <w:trPr>
          <w:trHeight w:val="288"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sum(D23:D24)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52</w:t>
            </w:r>
            <w:r>
              <w:rPr>
                <w:rFonts w:hint="eastAsia" w:ascii="仿宋" w:hAnsi="仿宋" w:eastAsia="仿宋" w:cs="仿宋"/>
                <w:b/>
                <w:bCs/>
                <w:i w:val="0"/>
                <w:iCs w:val="0"/>
                <w:color w:val="000000"/>
                <w:kern w:val="0"/>
                <w:sz w:val="24"/>
                <w:szCs w:val="24"/>
                <w:highlight w:val="none"/>
                <w:u w:val="none"/>
                <w:lang w:val="en-US" w:eastAsia="zh-CN" w:bidi="ar"/>
              </w:rPr>
              <w:fldChar w:fldCharType="end"/>
            </w:r>
            <w:r>
              <w:rPr>
                <w:rFonts w:hint="eastAsia" w:ascii="仿宋" w:hAnsi="仿宋" w:eastAsia="仿宋" w:cs="仿宋"/>
                <w:b/>
                <w:bCs/>
                <w:i w:val="0"/>
                <w:iCs w:val="0"/>
                <w:color w:val="000000"/>
                <w:kern w:val="0"/>
                <w:sz w:val="24"/>
                <w:szCs w:val="24"/>
                <w:highlight w:val="none"/>
                <w:u w:val="none"/>
                <w:lang w:val="en-US" w:eastAsia="zh-CN" w:bidi="ar"/>
              </w:rPr>
              <w:t>.00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21</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2018.1.16</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19.90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22</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2018.1.16</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41.60</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sum(D26:D27)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61.5</w:t>
            </w:r>
            <w:r>
              <w:rPr>
                <w:rFonts w:hint="eastAsia" w:ascii="仿宋" w:hAnsi="仿宋" w:eastAsia="仿宋" w:cs="仿宋"/>
                <w:b/>
                <w:bCs/>
                <w:i w:val="0"/>
                <w:iCs w:val="0"/>
                <w:color w:val="000000"/>
                <w:kern w:val="0"/>
                <w:sz w:val="24"/>
                <w:szCs w:val="24"/>
                <w:highlight w:val="none"/>
                <w:u w:val="none"/>
                <w:lang w:val="en-US" w:eastAsia="zh-CN" w:bidi="ar"/>
              </w:rPr>
              <w:fldChar w:fldCharType="end"/>
            </w:r>
            <w:r>
              <w:rPr>
                <w:rFonts w:hint="eastAsia" w:ascii="仿宋" w:hAnsi="仿宋" w:eastAsia="仿宋" w:cs="仿宋"/>
                <w:b/>
                <w:bCs/>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23</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2019.1.29</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18.60</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18.60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24</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2020.1.14</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34.50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地方财政拨款（局拨）</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2020.6.23</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44.00</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sum(D30:D31)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78.5</w:t>
            </w:r>
            <w:r>
              <w:rPr>
                <w:rFonts w:hint="eastAsia" w:ascii="仿宋" w:hAnsi="仿宋" w:eastAsia="仿宋" w:cs="仿宋"/>
                <w:b/>
                <w:bCs/>
                <w:i w:val="0"/>
                <w:iCs w:val="0"/>
                <w:color w:val="000000"/>
                <w:kern w:val="0"/>
                <w:sz w:val="24"/>
                <w:szCs w:val="24"/>
                <w:highlight w:val="none"/>
                <w:u w:val="none"/>
                <w:lang w:val="en-US" w:eastAsia="zh-CN" w:bidi="ar"/>
              </w:rPr>
              <w:fldChar w:fldCharType="end"/>
            </w:r>
            <w:r>
              <w:rPr>
                <w:rFonts w:hint="eastAsia" w:ascii="仿宋" w:hAnsi="仿宋" w:eastAsia="仿宋" w:cs="仿宋"/>
                <w:b/>
                <w:bCs/>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90"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26</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2021.2.3</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8.80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27</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2021.12.10</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17.1594</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sum(D34:D35)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25.9594</w:t>
            </w:r>
            <w:r>
              <w:rPr>
                <w:rFonts w:hint="eastAsia" w:ascii="仿宋" w:hAnsi="仿宋" w:eastAsia="仿宋" w:cs="仿宋"/>
                <w:b/>
                <w:bCs/>
                <w:i w:val="0"/>
                <w:iCs w:val="0"/>
                <w:color w:val="000000"/>
                <w:kern w:val="0"/>
                <w:sz w:val="24"/>
                <w:szCs w:val="24"/>
                <w:highlight w:val="none"/>
                <w:u w:val="none"/>
                <w:lang w:val="en-US" w:eastAsia="zh-CN" w:bidi="ar"/>
              </w:rPr>
              <w:fldChar w:fldCharType="end"/>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28</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专项债券资金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2021.11.29</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593.5493</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29</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专项债券资金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2022.2.16</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185.7601</w:t>
            </w:r>
          </w:p>
        </w:tc>
      </w:tr>
      <w:tr>
        <w:tblPrEx>
          <w:tblCellMar>
            <w:top w:w="0" w:type="dxa"/>
            <w:left w:w="108" w:type="dxa"/>
            <w:bottom w:w="0" w:type="dxa"/>
            <w:right w:w="108" w:type="dxa"/>
          </w:tblCellMar>
        </w:tblPrEx>
        <w:trPr>
          <w:trHeight w:val="23" w:hRule="atLeast"/>
          <w:jc w:val="center"/>
        </w:trPr>
        <w:tc>
          <w:tcPr>
            <w:tcW w:w="1799"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小计</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fldChar w:fldCharType="begin"/>
            </w:r>
            <w:r>
              <w:rPr>
                <w:rFonts w:hint="eastAsia" w:ascii="仿宋" w:hAnsi="仿宋" w:eastAsia="仿宋" w:cs="仿宋"/>
                <w:b/>
                <w:bCs/>
                <w:i w:val="0"/>
                <w:iCs w:val="0"/>
                <w:color w:val="000000"/>
                <w:kern w:val="0"/>
                <w:sz w:val="24"/>
                <w:szCs w:val="24"/>
                <w:highlight w:val="none"/>
                <w:u w:val="none"/>
                <w:lang w:val="en-US" w:eastAsia="zh-CN" w:bidi="ar"/>
              </w:rPr>
              <w:instrText xml:space="preserve"> = sum(D37:D38) \* MERGEFORMAT </w:instrText>
            </w:r>
            <w:r>
              <w:rPr>
                <w:rFonts w:hint="eastAsia" w:ascii="仿宋" w:hAnsi="仿宋" w:eastAsia="仿宋" w:cs="仿宋"/>
                <w:b/>
                <w:bCs/>
                <w:i w:val="0"/>
                <w:iCs w:val="0"/>
                <w:color w:val="000000"/>
                <w:kern w:val="0"/>
                <w:sz w:val="24"/>
                <w:szCs w:val="24"/>
                <w:highlight w:val="none"/>
                <w:u w:val="none"/>
                <w:lang w:val="en-US" w:eastAsia="zh-CN" w:bidi="ar"/>
              </w:rPr>
              <w:fldChar w:fldCharType="separate"/>
            </w:r>
            <w:r>
              <w:rPr>
                <w:rFonts w:hint="eastAsia" w:ascii="仿宋" w:hAnsi="仿宋" w:eastAsia="仿宋" w:cs="仿宋"/>
                <w:b/>
                <w:bCs/>
                <w:i w:val="0"/>
                <w:iCs w:val="0"/>
                <w:color w:val="000000"/>
                <w:kern w:val="0"/>
                <w:sz w:val="24"/>
                <w:szCs w:val="24"/>
                <w:highlight w:val="none"/>
                <w:u w:val="none"/>
                <w:lang w:val="en-US" w:eastAsia="zh-CN" w:bidi="ar"/>
              </w:rPr>
              <w:t>779.3094</w:t>
            </w:r>
            <w:r>
              <w:rPr>
                <w:rFonts w:hint="eastAsia" w:ascii="仿宋" w:hAnsi="仿宋" w:eastAsia="仿宋" w:cs="仿宋"/>
                <w:b/>
                <w:bCs/>
                <w:i w:val="0"/>
                <w:iCs w:val="0"/>
                <w:color w:val="000000"/>
                <w:kern w:val="0"/>
                <w:sz w:val="24"/>
                <w:szCs w:val="24"/>
                <w:highlight w:val="none"/>
                <w:u w:val="none"/>
                <w:lang w:val="en-US" w:eastAsia="zh-CN" w:bidi="ar"/>
              </w:rPr>
              <w:fldChar w:fldCharType="end"/>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30</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其中：地方财政拨款</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31</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地方财政拨款（奖补）</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959.00</w:t>
            </w:r>
            <w:r>
              <w:rPr>
                <w:rFonts w:hint="eastAsia" w:ascii="仿宋" w:hAnsi="仿宋" w:eastAsia="仿宋" w:cs="仿宋"/>
                <w:i w:val="0"/>
                <w:iCs w:val="0"/>
                <w:color w:val="000000"/>
                <w:kern w:val="0"/>
                <w:sz w:val="24"/>
                <w:szCs w:val="24"/>
                <w:highlight w:val="none"/>
                <w:u w:val="none"/>
                <w:lang w:val="en-US" w:eastAsia="zh-CN" w:bidi="ar"/>
              </w:rPr>
              <w:fldChar w:fldCharType="begin"/>
            </w:r>
            <w:r>
              <w:rPr>
                <w:rFonts w:hint="eastAsia" w:ascii="仿宋" w:hAnsi="仿宋" w:eastAsia="仿宋" w:cs="仿宋"/>
                <w:i w:val="0"/>
                <w:iCs w:val="0"/>
                <w:color w:val="000000"/>
                <w:kern w:val="0"/>
                <w:sz w:val="24"/>
                <w:szCs w:val="24"/>
                <w:highlight w:val="none"/>
                <w:u w:val="none"/>
                <w:lang w:val="en-US" w:eastAsia="zh-CN" w:bidi="ar"/>
              </w:rPr>
              <w:instrText xml:space="preserve"> = sum(D2:D26) \* MERGEFORMAT </w:instrText>
            </w:r>
            <w:r>
              <w:rPr>
                <w:rFonts w:hint="eastAsia" w:ascii="仿宋" w:hAnsi="仿宋" w:eastAsia="仿宋" w:cs="仿宋"/>
                <w:i w:val="0"/>
                <w:iCs w:val="0"/>
                <w:color w:val="000000"/>
                <w:kern w:val="0"/>
                <w:sz w:val="24"/>
                <w:szCs w:val="24"/>
                <w:highlight w:val="none"/>
                <w:u w:val="none"/>
                <w:lang w:val="en-US" w:eastAsia="zh-CN" w:bidi="ar"/>
              </w:rPr>
              <w:fldChar w:fldCharType="separate"/>
            </w:r>
            <w:r>
              <w:rPr>
                <w:rFonts w:hint="eastAsia" w:ascii="仿宋" w:hAnsi="仿宋" w:eastAsia="仿宋" w:cs="仿宋"/>
                <w:i w:val="0"/>
                <w:iCs w:val="0"/>
                <w:color w:val="000000"/>
                <w:kern w:val="0"/>
                <w:sz w:val="24"/>
                <w:szCs w:val="24"/>
                <w:highlight w:val="none"/>
                <w:u w:val="none"/>
                <w:lang w:val="en-US" w:eastAsia="zh-CN" w:bidi="ar"/>
              </w:rPr>
              <w:fldChar w:fldCharType="end"/>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32</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地方财政拨款（局拨）</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944.00</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33</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自筹资金</w:t>
            </w:r>
          </w:p>
        </w:tc>
        <w:tc>
          <w:tcPr>
            <w:tcW w:w="1259" w:type="pct"/>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452.9834</w:t>
            </w:r>
          </w:p>
        </w:tc>
      </w:tr>
      <w:tr>
        <w:tblPrEx>
          <w:tblCellMar>
            <w:top w:w="0" w:type="dxa"/>
            <w:left w:w="108" w:type="dxa"/>
            <w:bottom w:w="0" w:type="dxa"/>
            <w:right w:w="108" w:type="dxa"/>
          </w:tblCellMar>
        </w:tblPrEx>
        <w:trPr>
          <w:trHeight w:val="23" w:hRule="atLeast"/>
          <w:jc w:val="center"/>
        </w:trPr>
        <w:tc>
          <w:tcPr>
            <w:tcW w:w="3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34</w:t>
            </w:r>
          </w:p>
        </w:tc>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专项债券资金</w:t>
            </w:r>
          </w:p>
        </w:tc>
        <w:tc>
          <w:tcPr>
            <w:tcW w:w="125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779.3094</w:t>
            </w:r>
          </w:p>
        </w:tc>
      </w:tr>
      <w:tr>
        <w:tblPrEx>
          <w:tblCellMar>
            <w:top w:w="0" w:type="dxa"/>
            <w:left w:w="108" w:type="dxa"/>
            <w:bottom w:w="0" w:type="dxa"/>
            <w:right w:w="108" w:type="dxa"/>
          </w:tblCellMar>
        </w:tblPrEx>
        <w:trPr>
          <w:trHeight w:val="358" w:hRule="atLeast"/>
          <w:jc w:val="center"/>
        </w:trPr>
        <w:tc>
          <w:tcPr>
            <w:tcW w:w="305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合计</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3275.2928</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仿宋_GB2312" w:cs="Times New Roman"/>
          <w:b/>
          <w:bCs/>
          <w:color w:val="auto"/>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表1-2 资金使用情况表</w:t>
      </w:r>
    </w:p>
    <w:p>
      <w:pPr>
        <w:jc w:val="right"/>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609"/>
        <w:gridCol w:w="1964"/>
        <w:gridCol w:w="1963"/>
        <w:gridCol w:w="1378"/>
        <w:gridCol w:w="2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7" w:hRule="atLeast"/>
          <w:tblHeader/>
          <w:jc w:val="center"/>
        </w:trPr>
        <w:tc>
          <w:tcPr>
            <w:tcW w:w="73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0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6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拨付资金性质</w:t>
            </w:r>
          </w:p>
        </w:tc>
        <w:tc>
          <w:tcPr>
            <w:tcW w:w="196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资金拨付时间</w:t>
            </w:r>
          </w:p>
        </w:tc>
        <w:tc>
          <w:tcPr>
            <w:tcW w:w="13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拨付金额(万元)</w:t>
            </w:r>
          </w:p>
        </w:tc>
        <w:tc>
          <w:tcPr>
            <w:tcW w:w="231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支出用途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136.5</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37.79</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16.50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33.4016</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2015.11.30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2015.12.31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420.00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2015.12.31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167.00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420.00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420.00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地方财政、自筹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70.10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2017.1.12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52.00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61.50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18.60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34.50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8.80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17.1594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债券资金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593.5493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债券资金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2022.2.28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176.7601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3062.1604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10.3772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管理费、编制费、评委费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7.9646</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设计费、勘察监理费、审图费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2014.12.31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2.9463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管理费、土地测绘费、交易服务费、检测费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2015.1-6.9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33.1882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管理费、评委费、设计费、勘察监理费、审图费、交易服务费、监理费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26</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2015.7-12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49.4422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管理费、设计费、监理费、招标代理费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27</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2016.1.6-1.13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55.1988</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设计费、监理费、环评咨询费、水土保持补偿费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2016.7.12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0.2415</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29</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2020.1.12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44.00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二次供水改造工程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债券资金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2022.2.28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小计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212.3588</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32</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合计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3274.5192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r>
    </w:tbl>
    <w:p>
      <w:pPr>
        <w:pStyle w:val="4"/>
        <w:keepNext/>
        <w:keepLines/>
        <w:pageBreakBefore w:val="0"/>
        <w:widowControl w:val="0"/>
        <w:kinsoku/>
        <w:wordWrap/>
        <w:overflowPunct/>
        <w:topLinePunct w:val="0"/>
        <w:autoSpaceDE/>
        <w:autoSpaceDN/>
        <w:bidi w:val="0"/>
        <w:adjustRightInd w:val="0"/>
        <w:snapToGrid w:val="0"/>
        <w:ind w:left="420" w:leftChars="200" w:firstLine="0" w:firstLineChars="0"/>
        <w:textAlignment w:val="auto"/>
        <w:rPr>
          <w:rFonts w:hint="eastAsia"/>
          <w:lang w:val="en-US" w:eastAsia="zh-CN"/>
        </w:rPr>
      </w:pPr>
      <w:bookmarkStart w:id="33" w:name="_Toc8717"/>
      <w:r>
        <w:rPr>
          <w:rFonts w:hint="eastAsia"/>
          <w:lang w:val="en-US" w:eastAsia="zh-CN"/>
        </w:rPr>
        <w:t>（二）项目绩效目标</w:t>
      </w:r>
      <w:bookmarkEnd w:id="33"/>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1.总体目标</w:t>
      </w:r>
      <w:r>
        <w:rPr>
          <w:rFonts w:hint="eastAsia"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red"/>
          <w:lang w:val="en-US" w:eastAsia="zh-CN"/>
        </w:rPr>
      </w:pPr>
      <w:r>
        <w:rPr>
          <w:rFonts w:hint="eastAsia" w:ascii="Times New Roman" w:hAnsi="Times New Roman" w:eastAsia="仿宋_GB2312" w:cs="Times New Roman"/>
          <w:color w:val="auto"/>
          <w:sz w:val="32"/>
          <w:szCs w:val="32"/>
          <w:highlight w:val="none"/>
          <w:lang w:val="en-US" w:eastAsia="zh-CN"/>
        </w:rPr>
        <w:t>目标1：完成二次供水设施撤并改造之前泵站为21座，撤并改造后期泵站数量为14座，其中改造泵站8座，新建泵站6座，二次供水管网改造长度为25.215KM；改造的楼内管网长度约250KM，水表出户改造9800块；二次供水改造工程泵房对流量、压力、水质余氯、浊度、PH值常规指标检测，配置相关仪表设备，工程检测系统设备14套；中心控制系统1套。</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2.阶段性目标</w:t>
      </w:r>
      <w:r>
        <w:rPr>
          <w:rFonts w:hint="eastAsia"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2021年度绩效目标：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red"/>
          <w:lang w:val="en-US" w:eastAsia="zh-CN"/>
        </w:rPr>
      </w:pPr>
      <w:r>
        <w:rPr>
          <w:rFonts w:hint="eastAsia" w:ascii="Times New Roman" w:hAnsi="Times New Roman" w:eastAsia="仿宋_GB2312" w:cs="Times New Roman"/>
          <w:color w:val="auto"/>
          <w:sz w:val="32"/>
          <w:szCs w:val="32"/>
          <w:highlight w:val="none"/>
          <w:lang w:val="en-US" w:eastAsia="zh-CN"/>
        </w:rPr>
        <w:t>目标1：2021年完成土建总工程量的50%。</w:t>
      </w:r>
    </w:p>
    <w:p>
      <w:pPr>
        <w:rPr>
          <w:rFonts w:hint="default"/>
          <w:lang w:val="en-US" w:eastAsia="zh-CN"/>
        </w:rPr>
      </w:pPr>
    </w:p>
    <w:p>
      <w:pPr>
        <w:rPr>
          <w:rFonts w:hint="eastAsia"/>
          <w:lang w:val="en-US" w:eastAsia="zh-CN"/>
        </w:rPr>
      </w:pPr>
    </w:p>
    <w:p>
      <w:pPr>
        <w:rPr>
          <w:rFonts w:hint="eastAsia"/>
          <w:lang w:val="en-US" w:eastAsia="zh-CN"/>
        </w:rPr>
        <w:sectPr>
          <w:footerReference r:id="rId5" w:type="default"/>
          <w:pgSz w:w="11906" w:h="16838"/>
          <w:pgMar w:top="1440" w:right="1080" w:bottom="1440" w:left="1080" w:header="851" w:footer="992" w:gutter="0"/>
          <w:pgNumType w:fmt="decimal"/>
          <w:cols w:space="425" w:num="1"/>
          <w:docGrid w:type="lines" w:linePitch="312" w:charSpace="0"/>
        </w:sectPr>
      </w:pPr>
    </w:p>
    <w:p>
      <w:pPr>
        <w:pStyle w:val="3"/>
        <w:bidi w:val="0"/>
        <w:rPr>
          <w:rFonts w:hint="eastAsia"/>
          <w:lang w:val="en-US" w:eastAsia="zh-CN"/>
        </w:rPr>
      </w:pPr>
      <w:bookmarkStart w:id="34" w:name="_Toc22906"/>
      <w:r>
        <w:rPr>
          <w:rFonts w:hint="eastAsia"/>
          <w:lang w:val="en-US" w:eastAsia="zh-CN"/>
        </w:rPr>
        <w:t>二、绩效评价工作开展情况</w:t>
      </w:r>
      <w:bookmarkEnd w:id="34"/>
    </w:p>
    <w:p>
      <w:pPr>
        <w:pStyle w:val="4"/>
        <w:bidi w:val="0"/>
        <w:rPr>
          <w:rFonts w:hint="eastAsia"/>
          <w:lang w:val="en-US" w:eastAsia="zh-CN"/>
        </w:rPr>
      </w:pPr>
      <w:bookmarkStart w:id="35" w:name="_Toc1933"/>
      <w:r>
        <w:rPr>
          <w:rFonts w:hint="eastAsia"/>
          <w:lang w:val="en-US" w:eastAsia="zh-CN"/>
        </w:rPr>
        <w:t>（一）绩效评价目标</w:t>
      </w:r>
      <w:bookmarkEnd w:id="35"/>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绩效评价的主要目的是为了全面贯彻落实《中共吉林省委吉林省人民政府关于全面实施预算绩效管理的实施意见》（吉发〔2019〕10号）、《吉林省财政厅关于印发&lt;贯彻落实全面实施预算绩效管理实施意见的工作方案（2019-2020年）&gt;的通知》（吉财绩〔2019〕406号）文件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建立科学、合理的地方政府专项债券绩效评价管理体系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从而提升专项债券资金的使用效率及效果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发挥专项债券资金促进稳投资、扩内需、补短板的积极作用。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通过科学、合理的评价方法，对伊通满族自治县二次供水改造工程项目绩效进行可靠的中期绩效评价，分析绩效目标的完成度以及预期由此产生的相关效益，旨在发现项目前期与中期实施过程中存在的问题，得出关于项目的初步结论，并在此基础上提出修正性建议，以促进债券项目资金的管理和使用水平进一步提高。</w:t>
      </w:r>
    </w:p>
    <w:p>
      <w:pPr>
        <w:pStyle w:val="4"/>
        <w:bidi w:val="0"/>
        <w:rPr>
          <w:rFonts w:hint="eastAsia"/>
          <w:lang w:val="en-US" w:eastAsia="zh-CN"/>
        </w:rPr>
      </w:pPr>
      <w:bookmarkStart w:id="36" w:name="_Toc23349"/>
      <w:r>
        <w:rPr>
          <w:rFonts w:hint="eastAsia"/>
          <w:lang w:val="en-US" w:eastAsia="zh-CN"/>
        </w:rPr>
        <w:t>（二）绩效评价对象和范围</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本次评价的对象为</w:t>
      </w:r>
      <w:r>
        <w:rPr>
          <w:rFonts w:hint="eastAsia" w:ascii="Times New Roman" w:hAnsi="Times New Roman" w:eastAsia="仿宋_GB2312" w:cs="Times New Roman"/>
          <w:sz w:val="32"/>
          <w:szCs w:val="32"/>
          <w:lang w:val="en-US" w:eastAsia="zh-CN"/>
        </w:rPr>
        <w:t>伊通满族自治县二次供水改造工程项目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涉及项目总投资</w:t>
      </w:r>
      <w:r>
        <w:rPr>
          <w:rFonts w:hint="eastAsia" w:ascii="Times New Roman" w:hAnsi="Times New Roman" w:eastAsia="仿宋_GB2312" w:cs="Times New Roman"/>
          <w:color w:val="auto"/>
          <w:sz w:val="32"/>
          <w:szCs w:val="32"/>
          <w:highlight w:val="none"/>
          <w:lang w:val="en-US" w:eastAsia="zh-CN"/>
        </w:rPr>
        <w:t>7908.78万元</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截止2022年6月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项目实际支出资金</w:t>
      </w:r>
      <w:r>
        <w:rPr>
          <w:rFonts w:hint="eastAsia" w:ascii="Times New Roman" w:hAnsi="Times New Roman" w:eastAsia="仿宋_GB2312" w:cs="Times New Roman"/>
          <w:sz w:val="32"/>
          <w:szCs w:val="32"/>
          <w:highlight w:val="none"/>
          <w:lang w:val="en-US" w:eastAsia="zh-CN"/>
        </w:rPr>
        <w:t>3274.5192</w:t>
      </w:r>
      <w:r>
        <w:rPr>
          <w:rFonts w:hint="default" w:ascii="Times New Roman" w:hAnsi="Times New Roman" w:eastAsia="仿宋_GB2312" w:cs="Times New Roman"/>
          <w:sz w:val="32"/>
          <w:szCs w:val="32"/>
          <w:highlight w:val="none"/>
          <w:lang w:val="en-US" w:eastAsia="zh-CN"/>
        </w:rPr>
        <w:t>万元。资</w:t>
      </w:r>
      <w:r>
        <w:rPr>
          <w:rFonts w:hint="eastAsia" w:ascii="仿宋_GB2312" w:hAnsi="仿宋_GB2312" w:eastAsia="仿宋_GB2312" w:cs="仿宋_GB2312"/>
          <w:sz w:val="32"/>
          <w:szCs w:val="32"/>
          <w:highlight w:val="none"/>
          <w:lang w:val="en-US" w:eastAsia="zh-CN"/>
        </w:rPr>
        <w:t>金来源为吉林省政府专项债券资金、</w:t>
      </w:r>
      <w:r>
        <w:rPr>
          <w:rFonts w:hint="eastAsia" w:ascii="Times New Roman" w:hAnsi="Times New Roman" w:eastAsia="仿宋_GB2312" w:cs="Times New Roman"/>
          <w:color w:val="auto"/>
          <w:sz w:val="32"/>
          <w:szCs w:val="32"/>
          <w:highlight w:val="none"/>
          <w:lang w:val="en-US" w:eastAsia="zh-CN"/>
        </w:rPr>
        <w:t>财政资金、财政奖补及自筹资金</w:t>
      </w:r>
      <w:r>
        <w:rPr>
          <w:rFonts w:hint="eastAsia" w:ascii="仿宋_GB2312" w:hAnsi="仿宋_GB2312" w:eastAsia="仿宋_GB2312" w:cs="仿宋_GB2312"/>
          <w:sz w:val="32"/>
          <w:szCs w:val="32"/>
          <w:highlight w:val="none"/>
          <w:lang w:val="en-US" w:eastAsia="zh-CN"/>
        </w:rPr>
        <w:t>。</w:t>
      </w:r>
    </w:p>
    <w:p>
      <w:pPr>
        <w:pStyle w:val="4"/>
        <w:bidi w:val="0"/>
        <w:rPr>
          <w:rFonts w:hint="default"/>
          <w:lang w:val="en-US" w:eastAsia="zh-CN"/>
        </w:rPr>
      </w:pPr>
      <w:bookmarkStart w:id="37" w:name="_Toc30149"/>
      <w:r>
        <w:rPr>
          <w:rFonts w:hint="eastAsia"/>
          <w:lang w:val="en-US" w:eastAsia="zh-CN"/>
        </w:rPr>
        <w:t>（三）绩效评价原则</w:t>
      </w:r>
      <w:bookmarkEnd w:id="37"/>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一是科学规范原则：绩效评价严格遵循既定程序，科学可行；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二是公开公正原则：评价结果客观公正，并接受社会公开监督；</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三是分级分类原则：根据评价对象特点分类组织实施；</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四是绩效相关原则：支出与其产出之间有紧密相关关系。</w:t>
      </w:r>
    </w:p>
    <w:p>
      <w:pPr>
        <w:pStyle w:val="4"/>
        <w:bidi w:val="0"/>
        <w:rPr>
          <w:rFonts w:hint="eastAsia"/>
          <w:lang w:val="en-US" w:eastAsia="zh-CN"/>
        </w:rPr>
      </w:pPr>
      <w:bookmarkStart w:id="38" w:name="_Toc6121"/>
      <w:r>
        <w:rPr>
          <w:rFonts w:hint="eastAsia"/>
          <w:lang w:val="en-US" w:eastAsia="zh-CN"/>
        </w:rPr>
        <w:t>（四）绩效评价指标体系</w:t>
      </w:r>
      <w:bookmarkEnd w:id="38"/>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吉林省地方政府专项债券项目资金绩效管理办法（试行）》（吉财债〔2021〕1044号），绩效评价结果量化为百分制综合评分，并按照综合评分进行分级。综合评分为90分（含）以上的为“优”，80分（含）至90分的为“良”，60分（含）至80分的为“中”，60分以下的为“差”。</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本项目绩效评价指标体系见下表：</w:t>
      </w:r>
    </w:p>
    <w:p>
      <w:pPr>
        <w:pStyle w:val="2"/>
        <w:rPr>
          <w:rFonts w:hint="eastAsia" w:ascii="Times New Roman" w:hAnsi="Times New Roman" w:eastAsia="仿宋_GB2312" w:cs="Times New Roman"/>
          <w:color w:val="auto"/>
          <w:sz w:val="32"/>
          <w:szCs w:val="32"/>
          <w:highlight w:val="none"/>
          <w:lang w:val="en-US" w:eastAsia="zh-CN"/>
        </w:rPr>
      </w:pPr>
    </w:p>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01"/>
        <w:gridCol w:w="1046"/>
        <w:gridCol w:w="443"/>
        <w:gridCol w:w="2011"/>
        <w:gridCol w:w="4102"/>
        <w:gridCol w:w="838"/>
        <w:gridCol w:w="879"/>
        <w:gridCol w:w="1661"/>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5"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一级指标</w:t>
            </w:r>
          </w:p>
        </w:tc>
        <w:tc>
          <w:tcPr>
            <w:tcW w:w="458"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二级指标</w:t>
            </w:r>
          </w:p>
        </w:tc>
        <w:tc>
          <w:tcPr>
            <w:tcW w:w="368"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三级指标</w:t>
            </w:r>
          </w:p>
        </w:tc>
        <w:tc>
          <w:tcPr>
            <w:tcW w:w="156"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权重</w:t>
            </w:r>
          </w:p>
        </w:tc>
        <w:tc>
          <w:tcPr>
            <w:tcW w:w="709"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指标解释</w:t>
            </w:r>
          </w:p>
        </w:tc>
        <w:tc>
          <w:tcPr>
            <w:tcW w:w="1447"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指标公式</w:t>
            </w:r>
          </w:p>
        </w:tc>
        <w:tc>
          <w:tcPr>
            <w:tcW w:w="295"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标杆值</w:t>
            </w:r>
          </w:p>
        </w:tc>
        <w:tc>
          <w:tcPr>
            <w:tcW w:w="310"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标杆值来源</w:t>
            </w:r>
          </w:p>
        </w:tc>
        <w:tc>
          <w:tcPr>
            <w:tcW w:w="585"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评分标准</w:t>
            </w:r>
          </w:p>
        </w:tc>
        <w:tc>
          <w:tcPr>
            <w:tcW w:w="412"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评分数据来源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决策</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（10分）</w:t>
            </w: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新增地方政府专项债券项目申报的政策依据与程序规范性（2分）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立项依据充分性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w:t>
            </w:r>
          </w:p>
        </w:tc>
        <w:tc>
          <w:tcPr>
            <w:tcW w:w="709"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专项债券项目申报是否符合法律法规、相关政策、发展规划以及部门职责</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用以反映和考核项目立项依据情况。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①项目是否符合专项债券支持领域和方向情况；</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②项目立项审批是否符合国家法律法规、国民经济发展规划和市县区城市发展规划；</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③项目是否列入政府投资计划和中长期财政规划；</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④是否纳入财政部地方政府债务管理系统项目库和发改委国家重大项目建设库；</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⑤项目资金是否纳入政府性基金预算管理。</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立项依据政策文件、部门职能规划、项目库等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立项程序规范性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w:t>
            </w:r>
          </w:p>
        </w:tc>
        <w:tc>
          <w:tcPr>
            <w:tcW w:w="709"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专项债券项目立项前期准备程序是否符合相关要求</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用以反映和考核项目立项规范情况。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①项目是否按照规定的程序申请设立；</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②项目前期准备是否有选址意见书和用地审批文件；</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③是否编制可行性研究报告或项目申请报告；</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④可行性研究报告和项目申请报告核准文件是否批复；</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⑤环境影响评价、安全评价、施工许可证或开工报告等是否有相关批复文件。</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项目立项流程规章、立项申报材料、项目立项批复文件、可行性报告等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新增地方政府专项债券绩效目标设定的合理性与指标明确性（4分）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绩效目标合理性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709"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项目主管部门和项目单位所设定的绩效目标是否依据充分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是否符合客观实际</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用以反映和考核项目绩效目标与项目实施的相符情况。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①专项债券项目申报时是否制定绩效目标；</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②绩效目标指标值是否与债券资金投入的项目内容相符；</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③项目预期产出的效益和效果是否符合当地经济发展需求；</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④项目所申请的专项债券资金与项目概算需求的资金量是否相匹配。</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扣0.5分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立项依据政策文件、部门职能规划、项目绩效目标申报表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绩效指标明确性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709"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依据绩效目标设定的绩效指标是否清晰、细化、可衡量等</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用以反映和考核项目绩效目标的明细化情况。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①项目绩效目标细化分解的具体指标是否真实反映该项目相关信息；</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②细化分解的具体指标是否通过清晰、可衡量、可量化的指标值体现；</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③绩效目标指标值的设定是否与项目目标任务数或计划数相对应。</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val="en-US" w:eastAsia="zh-CN" w:bidi="ar"/>
              </w:rPr>
              <w:t>不符合</w:t>
            </w:r>
            <w:r>
              <w:rPr>
                <w:rFonts w:hint="default" w:ascii="Times New Roman" w:hAnsi="Times New Roman" w:eastAsia="仿宋" w:cs="Times New Roman"/>
                <w:color w:val="000000"/>
                <w:kern w:val="0"/>
                <w:sz w:val="20"/>
                <w:lang w:bidi="ar"/>
              </w:rPr>
              <w:t>①</w:t>
            </w:r>
            <w:r>
              <w:rPr>
                <w:rFonts w:hint="default" w:ascii="Times New Roman" w:hAnsi="Times New Roman" w:eastAsia="仿宋" w:cs="Times New Roman"/>
                <w:color w:val="000000"/>
                <w:kern w:val="0"/>
                <w:sz w:val="20"/>
                <w:lang w:val="en-US" w:eastAsia="zh-CN" w:bidi="ar"/>
              </w:rPr>
              <w:t>或</w:t>
            </w:r>
            <w:r>
              <w:rPr>
                <w:rFonts w:hint="default" w:ascii="Times New Roman" w:hAnsi="Times New Roman" w:eastAsia="仿宋" w:cs="Times New Roman"/>
                <w:color w:val="000000"/>
                <w:kern w:val="0"/>
                <w:sz w:val="20"/>
                <w:lang w:bidi="ar"/>
              </w:rPr>
              <w:t>②</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val="en-US" w:eastAsia="zh-CN" w:bidi="ar"/>
              </w:rPr>
              <w:t>每有一处扣0.8分</w:t>
            </w:r>
            <w:r>
              <w:rPr>
                <w:rFonts w:hint="eastAsia" w:ascii="Times New Roman" w:hAnsi="Times New Roman" w:eastAsia="仿宋" w:cs="Times New Roman"/>
                <w:color w:val="000000"/>
                <w:kern w:val="0"/>
                <w:sz w:val="20"/>
                <w:lang w:val="en-US" w:eastAsia="zh-CN" w:bidi="ar"/>
              </w:rPr>
              <w:t>，</w:t>
            </w:r>
            <w:r>
              <w:rPr>
                <w:rFonts w:hint="default" w:ascii="Times New Roman" w:hAnsi="Times New Roman" w:eastAsia="仿宋" w:cs="Times New Roman"/>
                <w:color w:val="000000"/>
                <w:kern w:val="0"/>
                <w:sz w:val="20"/>
                <w:lang w:val="en-US" w:eastAsia="zh-CN" w:bidi="ar"/>
              </w:rPr>
              <w:t>不符合</w:t>
            </w:r>
            <w:r>
              <w:rPr>
                <w:rFonts w:hint="default" w:ascii="Times New Roman" w:hAnsi="Times New Roman" w:eastAsia="仿宋" w:cs="Times New Roman"/>
                <w:color w:val="000000"/>
                <w:kern w:val="0"/>
                <w:sz w:val="20"/>
                <w:lang w:bidi="ar"/>
              </w:rPr>
              <w:t>③</w:t>
            </w:r>
            <w:r>
              <w:rPr>
                <w:rFonts w:hint="default" w:ascii="Times New Roman" w:hAnsi="Times New Roman" w:eastAsia="仿宋" w:cs="Times New Roman"/>
                <w:color w:val="000000"/>
                <w:kern w:val="0"/>
                <w:sz w:val="20"/>
                <w:lang w:val="en-US" w:eastAsia="zh-CN" w:bidi="ar"/>
              </w:rPr>
              <w:t>扣0.4分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编制新增地方政府专项债券资金平衡方案科学性和资金分配的合理性（4分）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平衡方案科学性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709"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项目单位编制的平衡方案是否经过科学论证、有明确标准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申请的专项债券项目资金额度是否与制定的年度绩效目标相适应</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用以反映和考核新增专项债券项目资金编制的科学性。</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①项目单位编制的平衡方案是否经过科学论证；</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②编制的内容与申请专项债券项目内容是否相匹配。</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③申请专项债券额度测算依据是否按照专项债券资金使用规定编制</w:t>
            </w:r>
            <w:r>
              <w:rPr>
                <w:rFonts w:hint="default" w:ascii="Times New Roman" w:hAnsi="Times New Roman" w:eastAsia="仿宋" w:cs="Times New Roman"/>
                <w:color w:val="000000"/>
                <w:kern w:val="0"/>
                <w:sz w:val="20"/>
                <w:lang w:eastAsia="zh-CN" w:bidi="ar"/>
              </w:rPr>
              <w:t>；</w:t>
            </w:r>
          </w:p>
          <w:p>
            <w:pPr>
              <w:widowControl/>
              <w:jc w:val="left"/>
              <w:textAlignment w:val="center"/>
              <w:rPr>
                <w:rFonts w:hint="default" w:ascii="Times New Roman" w:hAnsi="Times New Roman" w:eastAsia="仿宋" w:cs="Times New Roman"/>
                <w:color w:val="000000"/>
                <w:sz w:val="20"/>
                <w:lang w:eastAsia="zh-CN"/>
              </w:rPr>
            </w:pPr>
            <w:r>
              <w:rPr>
                <w:rFonts w:hint="default" w:ascii="Times New Roman" w:hAnsi="Times New Roman" w:eastAsia="仿宋" w:cs="Times New Roman"/>
                <w:color w:val="000000"/>
                <w:kern w:val="0"/>
                <w:sz w:val="20"/>
                <w:lang w:bidi="ar"/>
              </w:rPr>
              <w:t>④</w:t>
            </w:r>
            <w:r>
              <w:rPr>
                <w:rStyle w:val="24"/>
                <w:rFonts w:hint="default" w:ascii="Times New Roman" w:hAnsi="Times New Roman" w:eastAsia="仿宋" w:cs="Times New Roman"/>
                <w:lang w:bidi="ar"/>
              </w:rPr>
              <w:t>申请的专项债券项目资金额度与当年专项债券项目任务是否相匹配</w:t>
            </w:r>
            <w:r>
              <w:rPr>
                <w:rStyle w:val="24"/>
                <w:rFonts w:hint="default" w:ascii="Times New Roman" w:hAnsi="Times New Roman" w:eastAsia="仿宋" w:cs="Times New Roman"/>
                <w:lang w:eastAsia="zh-CN" w:bidi="ar"/>
              </w:rPr>
              <w:t>。</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w:t>
            </w:r>
            <w:r>
              <w:rPr>
                <w:rFonts w:hint="default" w:ascii="Times New Roman" w:hAnsi="Times New Roman" w:eastAsia="仿宋" w:cs="Times New Roman"/>
                <w:color w:val="000000"/>
                <w:kern w:val="0"/>
                <w:sz w:val="20"/>
                <w:lang w:val="en-US" w:eastAsia="zh-CN" w:bidi="ar"/>
              </w:rPr>
              <w:t>.5</w:t>
            </w:r>
            <w:r>
              <w:rPr>
                <w:rFonts w:hint="default" w:ascii="Times New Roman" w:hAnsi="Times New Roman" w:eastAsia="仿宋" w:cs="Times New Roman"/>
                <w:color w:val="000000"/>
                <w:kern w:val="0"/>
                <w:sz w:val="20"/>
                <w:lang w:bidi="ar"/>
              </w:rPr>
              <w:t>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Style w:val="22"/>
                <w:rFonts w:hint="default" w:ascii="Times New Roman" w:hAnsi="Times New Roman" w:eastAsia="仿宋" w:cs="Times New Roman"/>
                <w:lang w:bidi="ar"/>
              </w:rPr>
              <w:t>立项文件、平衡方案、</w:t>
            </w:r>
            <w:r>
              <w:rPr>
                <w:rStyle w:val="23"/>
                <w:rFonts w:hint="default" w:ascii="Times New Roman" w:hAnsi="Times New Roman" w:eastAsia="仿宋" w:cs="Times New Roman"/>
                <w:b w:val="0"/>
                <w:bCs w:val="0"/>
                <w:color w:val="auto"/>
                <w:lang w:bidi="ar"/>
              </w:rPr>
              <w:t>专家评价意见等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资金分配合理性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709"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项目单位编制的平衡方案中专项债券项目资金分配使用是否有测算依据</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与该项目所需资金的真实性是否相符</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用以反映和考核新增专项债券项目资金分配的合理性。</w:t>
            </w:r>
          </w:p>
        </w:tc>
        <w:tc>
          <w:tcPr>
            <w:tcW w:w="1447" w:type="pct"/>
            <w:shd w:val="clear" w:color="auto" w:fill="FFFFFF"/>
            <w:noWrap w:val="0"/>
            <w:vAlign w:val="center"/>
          </w:tcPr>
          <w:p>
            <w:pPr>
              <w:widowControl/>
              <w:jc w:val="left"/>
              <w:textAlignment w:val="center"/>
              <w:rPr>
                <w:rStyle w:val="24"/>
                <w:rFonts w:hint="eastAsia" w:ascii="Times New Roman" w:hAnsi="Times New Roman" w:eastAsia="仿宋" w:cs="Times New Roman"/>
                <w:lang w:eastAsia="zh-CN" w:bidi="ar"/>
              </w:rPr>
            </w:pPr>
            <w:r>
              <w:rPr>
                <w:rStyle w:val="24"/>
                <w:rFonts w:hint="default" w:ascii="Times New Roman" w:hAnsi="Times New Roman" w:eastAsia="仿宋" w:cs="Times New Roman"/>
                <w:lang w:bidi="ar"/>
              </w:rPr>
              <w:t>①专项债券资金分配使用依据是否充分；</w:t>
            </w:r>
          </w:p>
          <w:p>
            <w:pPr>
              <w:widowControl/>
              <w:jc w:val="left"/>
              <w:textAlignment w:val="center"/>
              <w:rPr>
                <w:rFonts w:hint="default" w:ascii="Times New Roman" w:hAnsi="Times New Roman" w:eastAsia="仿宋" w:cs="Times New Roman"/>
                <w:color w:val="000000"/>
                <w:sz w:val="20"/>
                <w:lang w:eastAsia="zh-CN"/>
              </w:rPr>
            </w:pPr>
            <w:r>
              <w:rPr>
                <w:rStyle w:val="24"/>
                <w:rFonts w:hint="default" w:ascii="Times New Roman" w:hAnsi="Times New Roman" w:eastAsia="仿宋" w:cs="Times New Roman"/>
                <w:lang w:bidi="ar"/>
              </w:rPr>
              <w:t>②预算资金、银行贷款、自有资金、债券资金额度分配是否合理。</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w:t>
            </w:r>
            <w:r>
              <w:rPr>
                <w:rFonts w:hint="default" w:ascii="Times New Roman" w:hAnsi="Times New Roman" w:eastAsia="仿宋" w:cs="Times New Roman"/>
                <w:color w:val="000000"/>
                <w:kern w:val="0"/>
                <w:sz w:val="20"/>
                <w:lang w:val="en-US" w:eastAsia="zh-CN" w:bidi="ar"/>
              </w:rPr>
              <w:t>1</w:t>
            </w:r>
            <w:r>
              <w:rPr>
                <w:rFonts w:hint="default" w:ascii="Times New Roman" w:hAnsi="Times New Roman" w:eastAsia="仿宋" w:cs="Times New Roman"/>
                <w:color w:val="000000"/>
                <w:kern w:val="0"/>
                <w:sz w:val="20"/>
                <w:lang w:bidi="ar"/>
              </w:rPr>
              <w:t>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专项债券额度测算依据、平衡方案、项目计划书等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管理（30分）</w:t>
            </w: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新增地方政府专项债券资金管理制度健全性及组织实施有效性（12分）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管理制度健全性</w:t>
            </w:r>
          </w:p>
        </w:tc>
        <w:tc>
          <w:tcPr>
            <w:tcW w:w="156"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709"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使用专项债券项目实施单位财务和业务管理制度是否健全、是否符合法律法规和相关管理规定</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用以反映和考核专项债券项目顺利实施的保障能力。</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①项目实施单位财务部门是否制定专项债券资金使用计划和资金管理办法；</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②所制定的财务管理制度及规定是否合法、合规、完整；</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③项目实施单位业务部门是否制定专项债券项目管理办法；</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④所制定的业务管理制度及规定是否合法、合规、完整。</w:t>
            </w:r>
          </w:p>
        </w:tc>
        <w:tc>
          <w:tcPr>
            <w:tcW w:w="295"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通用标准</w:t>
            </w:r>
          </w:p>
        </w:tc>
        <w:tc>
          <w:tcPr>
            <w:tcW w:w="585"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完全符合以上条件得6分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扣1.5分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财务管理制度、资金管理办法、业务管理制度、项目管理办法等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top"/>
          </w:tcPr>
          <w:p>
            <w:pPr>
              <w:jc w:val="center"/>
              <w:rPr>
                <w:rFonts w:hint="default" w:ascii="Times New Roman" w:hAnsi="Times New Roman" w:eastAsia="仿宋" w:cs="Times New Roman"/>
                <w:color w:val="000000"/>
                <w:sz w:val="20"/>
              </w:rPr>
            </w:pP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组织实施有效性</w:t>
            </w:r>
          </w:p>
        </w:tc>
        <w:tc>
          <w:tcPr>
            <w:tcW w:w="156"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709"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项目实施单位是否按照财务和业务管理制度执行</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用以反映和考核专项债券项目实施过程中制度有效执行情况。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①项目实施是否遵守相关法律法规和相关管理规定；</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②项目实施单位是否按照制定的专项债券资金使用计划执行；</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③专项债券收支、还本付息及专项收入纳入政府性基金预算管理情况；</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④项目调整及支出调整手续是否完备；</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⑤项目合同书、验收报告、技术鉴定、资金凭证等资料是否齐全并及时归档；</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⑥项目实施的人员条件、场地设备、信息支撑等是否落实到位。</w:t>
            </w:r>
          </w:p>
        </w:tc>
        <w:tc>
          <w:tcPr>
            <w:tcW w:w="29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通用标准</w:t>
            </w:r>
          </w:p>
        </w:tc>
        <w:tc>
          <w:tcPr>
            <w:tcW w:w="58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完全符合以上条件得6分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资金到账和支出凭证、调整及支出调整手续、合同书、验收报告、技术鉴定等资料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restar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新增地方政府专项债券资金使用情况（18分）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资金使用合规性</w:t>
            </w:r>
          </w:p>
        </w:tc>
        <w:tc>
          <w:tcPr>
            <w:tcW w:w="156"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709"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项目资金使用是否符合相关的管理制度规定</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用以反映和考核项目资金的规范运行情况。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①项目建设和运营期间是否成立专门的管理机构；</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②项目资金使用是否符合相关专项债券资金使用管理制度规定；</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③项目单位或项目实施企业是否被中国人民银行列入征信系统黑名单；</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④项目单位在项目建设运营期间</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地方政府是否擅自变动项目资金；</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⑤专项债券资金是否严格按照专项债券资金专户管理办法拨付至项目施工单位</w:t>
            </w:r>
            <w:r>
              <w:rPr>
                <w:rFonts w:hint="eastAsia" w:ascii="Times New Roman" w:hAnsi="Times New Roman" w:eastAsia="仿宋" w:cs="Times New Roman"/>
                <w:color w:val="000000"/>
                <w:kern w:val="0"/>
                <w:sz w:val="20"/>
                <w:lang w:eastAsia="zh-CN" w:bidi="ar"/>
              </w:rPr>
              <w:t>；</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⑥专项债券项目存续期是否按要求在网站上进行信息公开。</w:t>
            </w:r>
          </w:p>
        </w:tc>
        <w:tc>
          <w:tcPr>
            <w:tcW w:w="29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10"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通用标准</w:t>
            </w:r>
          </w:p>
        </w:tc>
        <w:tc>
          <w:tcPr>
            <w:tcW w:w="58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完全符合以上条件得6分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管理机构信息、建设单位基本信息、相关网站、项目资金支出材料等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top"/>
          </w:tcPr>
          <w:p>
            <w:pPr>
              <w:jc w:val="center"/>
              <w:rPr>
                <w:rFonts w:hint="default" w:ascii="Times New Roman" w:hAnsi="Times New Roman" w:eastAsia="仿宋" w:cs="Times New Roman"/>
                <w:color w:val="000000"/>
                <w:sz w:val="20"/>
              </w:rPr>
            </w:pP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资金到位率</w:t>
            </w:r>
          </w:p>
        </w:tc>
        <w:tc>
          <w:tcPr>
            <w:tcW w:w="156"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709"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实际到位项目资金与预算安排资金的比率</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用以反映和考核落实资金情况对项目实施的总体保障程度</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资金到位率=（实际到位资金/预算安排资金）×100%；</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实际到位资金：一定时期（本年度或项目期）内落实到具体项目的资金；</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预算安排资金：一定时期（本年度或项目期）内预算安排到具体项目的资金；</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资金包含专项债券资金、财政预算资金、银行融资资金、自有资金等。</w:t>
            </w:r>
          </w:p>
        </w:tc>
        <w:tc>
          <w:tcPr>
            <w:tcW w:w="29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≤100%</w:t>
            </w:r>
          </w:p>
        </w:tc>
        <w:tc>
          <w:tcPr>
            <w:tcW w:w="310"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得分=各类资金到位率的平均值×指标权重</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财政拨款凭证、资金到账凭证等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top"/>
          </w:tcPr>
          <w:p>
            <w:pPr>
              <w:jc w:val="center"/>
              <w:rPr>
                <w:rFonts w:hint="default" w:ascii="Times New Roman" w:hAnsi="Times New Roman" w:eastAsia="仿宋" w:cs="Times New Roman"/>
                <w:color w:val="000000"/>
                <w:sz w:val="20"/>
              </w:rPr>
            </w:pP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资金执行率</w:t>
            </w:r>
          </w:p>
        </w:tc>
        <w:tc>
          <w:tcPr>
            <w:tcW w:w="156"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709"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实际支出项目资金与实际到位资金的比率</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用以反映和考核项目预算执行情况。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资金执行率=（实际支出资金/实际到位资金）×100%；</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实际支出资金：一定时期（本年度或项目期）内实施单位支出的资金；</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实际到位资金：一定时期（本年度或项目期）内落实到具体项目的资金；</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资金包含专项债券资金、财政预算资金、银行融资资金、自有资金等。</w:t>
            </w:r>
          </w:p>
        </w:tc>
        <w:tc>
          <w:tcPr>
            <w:tcW w:w="29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≤100%</w:t>
            </w:r>
          </w:p>
        </w:tc>
        <w:tc>
          <w:tcPr>
            <w:tcW w:w="310"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得分=各类资金执行率的平均值×指标权重</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项目支出凭证、支出明细等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产出（40分）</w:t>
            </w: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产出数量</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（10分）</w:t>
            </w:r>
          </w:p>
        </w:tc>
        <w:tc>
          <w:tcPr>
            <w:tcW w:w="368" w:type="pct"/>
            <w:noWrap w:val="0"/>
            <w:vAlign w:val="center"/>
          </w:tcPr>
          <w:p>
            <w:pPr>
              <w:widowControl/>
              <w:jc w:val="center"/>
              <w:textAlignment w:val="center"/>
              <w:rPr>
                <w:rFonts w:hint="default" w:ascii="Times New Roman" w:hAnsi="Times New Roman" w:eastAsia="仿宋" w:cs="Times New Roman"/>
                <w:color w:val="000000"/>
                <w:sz w:val="20"/>
                <w:lang w:val="en-US" w:eastAsia="zh-CN"/>
              </w:rPr>
            </w:pPr>
            <w:r>
              <w:rPr>
                <w:rFonts w:hint="default" w:ascii="Times New Roman" w:hAnsi="Times New Roman" w:eastAsia="仿宋" w:cs="Times New Roman"/>
                <w:color w:val="000000"/>
                <w:sz w:val="20"/>
                <w:lang w:val="en-US" w:eastAsia="zh-CN"/>
              </w:rPr>
              <w:t>进度计划完成率</w:t>
            </w:r>
          </w:p>
        </w:tc>
        <w:tc>
          <w:tcPr>
            <w:tcW w:w="156"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10</w:t>
            </w:r>
          </w:p>
        </w:tc>
        <w:tc>
          <w:tcPr>
            <w:tcW w:w="709"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使用专项债券资金项目是否按建设计划完成</w:t>
            </w:r>
            <w:r>
              <w:rPr>
                <w:rFonts w:hint="eastAsia" w:ascii="Times New Roman" w:hAnsi="Times New Roman" w:eastAsia="仿宋" w:cs="Times New Roman"/>
                <w:color w:val="000000"/>
                <w:kern w:val="0"/>
                <w:sz w:val="20"/>
                <w:lang w:val="en-US" w:eastAsia="zh-CN" w:bidi="ar"/>
              </w:rPr>
              <w:t>阶段性</w:t>
            </w:r>
            <w:r>
              <w:rPr>
                <w:rFonts w:hint="default" w:ascii="Times New Roman" w:hAnsi="Times New Roman" w:eastAsia="仿宋" w:cs="Times New Roman"/>
                <w:color w:val="000000"/>
                <w:kern w:val="0"/>
                <w:sz w:val="20"/>
                <w:lang w:bidi="ar"/>
              </w:rPr>
              <w:t>建设内容</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用于反映和考核专项债券项目建设进度情况。</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①是否按照</w:t>
            </w:r>
            <w:r>
              <w:rPr>
                <w:rFonts w:hint="eastAsia" w:ascii="Times New Roman" w:hAnsi="Times New Roman" w:eastAsia="仿宋" w:cs="Times New Roman"/>
                <w:color w:val="000000"/>
                <w:kern w:val="0"/>
                <w:sz w:val="20"/>
                <w:lang w:val="en-US" w:eastAsia="zh-CN" w:bidi="ar"/>
              </w:rPr>
              <w:t>阶段性</w:t>
            </w:r>
            <w:r>
              <w:rPr>
                <w:rFonts w:hint="default" w:ascii="Times New Roman" w:hAnsi="Times New Roman" w:eastAsia="仿宋" w:cs="Times New Roman"/>
                <w:color w:val="000000"/>
                <w:kern w:val="0"/>
                <w:sz w:val="20"/>
                <w:lang w:bidi="ar"/>
              </w:rPr>
              <w:t>计划目标完成</w:t>
            </w:r>
            <w:r>
              <w:rPr>
                <w:rFonts w:hint="default" w:ascii="Times New Roman" w:hAnsi="Times New Roman" w:eastAsia="仿宋" w:cs="Times New Roman"/>
                <w:color w:val="000000"/>
                <w:kern w:val="0"/>
                <w:sz w:val="20"/>
                <w:lang w:val="en-US" w:eastAsia="zh-CN" w:bidi="ar"/>
              </w:rPr>
              <w:t>预计</w:t>
            </w:r>
            <w:r>
              <w:rPr>
                <w:rFonts w:hint="default" w:ascii="Times New Roman" w:hAnsi="Times New Roman" w:eastAsia="仿宋" w:cs="Times New Roman"/>
                <w:color w:val="000000"/>
                <w:kern w:val="0"/>
                <w:sz w:val="20"/>
                <w:lang w:bidi="ar"/>
              </w:rPr>
              <w:t>项目建设</w:t>
            </w:r>
            <w:r>
              <w:rPr>
                <w:rFonts w:hint="default" w:ascii="Times New Roman" w:hAnsi="Times New Roman" w:eastAsia="仿宋" w:cs="Times New Roman"/>
                <w:color w:val="000000"/>
                <w:kern w:val="0"/>
                <w:sz w:val="20"/>
                <w:lang w:val="en-US" w:eastAsia="zh-CN" w:bidi="ar"/>
              </w:rPr>
              <w:t>的工程量</w:t>
            </w:r>
            <w:r>
              <w:rPr>
                <w:rFonts w:hint="default" w:ascii="Times New Roman" w:hAnsi="Times New Roman" w:eastAsia="仿宋" w:cs="Times New Roman"/>
                <w:color w:val="000000"/>
                <w:kern w:val="0"/>
                <w:sz w:val="20"/>
                <w:lang w:bidi="ar"/>
              </w:rPr>
              <w:t>；</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②如未完成按照完成比例计算分值。</w:t>
            </w:r>
          </w:p>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highlight w:val="none"/>
                <w:lang w:val="en-US" w:eastAsia="zh-CN" w:bidi="ar"/>
              </w:rPr>
              <w:t>进度计划完成率=</w:t>
            </w:r>
            <w:r>
              <w:rPr>
                <w:rFonts w:hint="default" w:ascii="Times New Roman" w:hAnsi="Times New Roman" w:eastAsia="仿宋" w:cs="Times New Roman"/>
                <w:color w:val="000000"/>
                <w:sz w:val="20"/>
              </w:rPr>
              <w:t>（实际完成</w:t>
            </w:r>
            <w:r>
              <w:rPr>
                <w:rFonts w:hint="eastAsia" w:ascii="Times New Roman" w:hAnsi="Times New Roman" w:eastAsia="仿宋" w:cs="Times New Roman"/>
                <w:color w:val="000000"/>
                <w:sz w:val="20"/>
                <w:lang w:val="en-US" w:eastAsia="zh-CN"/>
              </w:rPr>
              <w:t>工程量</w:t>
            </w:r>
            <w:r>
              <w:rPr>
                <w:rFonts w:hint="default" w:ascii="Times New Roman" w:hAnsi="Times New Roman" w:eastAsia="仿宋" w:cs="Times New Roman"/>
                <w:color w:val="000000"/>
                <w:sz w:val="20"/>
              </w:rPr>
              <w:t>/总计划</w:t>
            </w:r>
            <w:r>
              <w:rPr>
                <w:rFonts w:hint="eastAsia" w:ascii="Times New Roman" w:hAnsi="Times New Roman" w:eastAsia="仿宋" w:cs="Times New Roman"/>
                <w:color w:val="000000"/>
                <w:sz w:val="20"/>
                <w:lang w:val="en-US" w:eastAsia="zh-CN"/>
              </w:rPr>
              <w:t>工程量</w:t>
            </w:r>
            <w:r>
              <w:rPr>
                <w:rFonts w:hint="default" w:ascii="Times New Roman" w:hAnsi="Times New Roman" w:eastAsia="仿宋" w:cs="Times New Roman"/>
                <w:color w:val="000000"/>
                <w:sz w:val="20"/>
              </w:rPr>
              <w:t>）</w:t>
            </w: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100%</w:t>
            </w:r>
          </w:p>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highlight w:val="none"/>
                <w:lang w:val="en-US" w:eastAsia="zh-CN" w:bidi="ar"/>
              </w:rPr>
              <w:t>如涉及多个指标，则按照进度计划完成率平均值计算。</w:t>
            </w:r>
          </w:p>
        </w:tc>
        <w:tc>
          <w:tcPr>
            <w:tcW w:w="295" w:type="pct"/>
            <w:noWrap w:val="0"/>
            <w:vAlign w:val="center"/>
          </w:tcPr>
          <w:p>
            <w:pPr>
              <w:widowControl/>
              <w:jc w:val="center"/>
              <w:textAlignment w:val="center"/>
              <w:rPr>
                <w:rFonts w:hint="default" w:ascii="Times New Roman" w:hAnsi="Times New Roman" w:eastAsia="仿宋" w:cs="Times New Roman"/>
                <w:color w:val="000000"/>
                <w:sz w:val="20"/>
                <w:lang w:val="en-US" w:eastAsia="zh-CN"/>
              </w:rPr>
            </w:pPr>
            <w:r>
              <w:rPr>
                <w:rFonts w:hint="default" w:ascii="Times New Roman" w:hAnsi="Times New Roman" w:eastAsia="仿宋" w:cs="Times New Roman"/>
                <w:color w:val="000000"/>
                <w:kern w:val="0"/>
                <w:sz w:val="20"/>
                <w:lang w:bidi="ar"/>
              </w:rPr>
              <w:t>≤100%</w:t>
            </w:r>
          </w:p>
        </w:tc>
        <w:tc>
          <w:tcPr>
            <w:tcW w:w="310"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sz w:val="20"/>
                <w:lang w:val="en-US" w:eastAsia="zh-CN"/>
              </w:rPr>
              <w:t>100%</w:t>
            </w:r>
            <w:r>
              <w:rPr>
                <w:rFonts w:hint="default" w:ascii="Times New Roman" w:hAnsi="Times New Roman" w:eastAsia="仿宋" w:cs="Times New Roman"/>
                <w:color w:val="000000"/>
                <w:sz w:val="20"/>
              </w:rPr>
              <w:t>得满分</w:t>
            </w:r>
            <w:r>
              <w:rPr>
                <w:rFonts w:hint="eastAsia" w:ascii="Times New Roman" w:hAnsi="Times New Roman" w:eastAsia="仿宋" w:cs="Times New Roman"/>
                <w:color w:val="000000"/>
                <w:sz w:val="20"/>
                <w:lang w:eastAsia="zh-CN"/>
              </w:rPr>
              <w:t>，</w:t>
            </w:r>
            <w:r>
              <w:rPr>
                <w:rFonts w:hint="default" w:ascii="Times New Roman" w:hAnsi="Times New Roman" w:eastAsia="仿宋" w:cs="Times New Roman"/>
                <w:color w:val="000000"/>
                <w:sz w:val="20"/>
                <w:lang w:val="en-US" w:eastAsia="zh-CN"/>
              </w:rPr>
              <w:t>＜100%</w:t>
            </w:r>
            <w:r>
              <w:rPr>
                <w:rFonts w:hint="eastAsia" w:ascii="Times New Roman" w:hAnsi="Times New Roman" w:eastAsia="仿宋" w:cs="Times New Roman"/>
                <w:color w:val="000000"/>
                <w:sz w:val="20"/>
                <w:lang w:eastAsia="zh-CN"/>
              </w:rPr>
              <w:t>，</w:t>
            </w:r>
            <w:r>
              <w:rPr>
                <w:rFonts w:hint="default" w:ascii="Times New Roman" w:hAnsi="Times New Roman" w:eastAsia="仿宋" w:cs="Times New Roman"/>
                <w:color w:val="000000"/>
                <w:sz w:val="20"/>
              </w:rPr>
              <w:t>得分=</w:t>
            </w:r>
            <w:r>
              <w:rPr>
                <w:rFonts w:hint="eastAsia" w:ascii="Times New Roman" w:hAnsi="Times New Roman" w:eastAsia="仿宋" w:cs="Times New Roman"/>
                <w:color w:val="000000"/>
                <w:kern w:val="0"/>
                <w:sz w:val="20"/>
                <w:highlight w:val="none"/>
                <w:lang w:val="en-US" w:eastAsia="zh-CN" w:bidi="ar"/>
              </w:rPr>
              <w:t>进度计划完成率平均值</w:t>
            </w:r>
            <w:r>
              <w:rPr>
                <w:rFonts w:hint="default" w:ascii="Times New Roman" w:hAnsi="Times New Roman" w:eastAsia="仿宋" w:cs="Times New Roman"/>
                <w:color w:val="000000"/>
                <w:kern w:val="0"/>
                <w:sz w:val="20"/>
                <w:lang w:bidi="ar"/>
              </w:rPr>
              <w:t>×</w:t>
            </w:r>
            <w:r>
              <w:rPr>
                <w:rFonts w:hint="default" w:ascii="Times New Roman" w:hAnsi="Times New Roman" w:eastAsia="仿宋" w:cs="Times New Roman"/>
                <w:color w:val="000000"/>
                <w:sz w:val="20"/>
              </w:rPr>
              <w:t>指标权重。</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案卷研究、基础数据、</w:t>
            </w:r>
            <w:r>
              <w:rPr>
                <w:rFonts w:hint="eastAsia" w:ascii="Times New Roman" w:hAnsi="Times New Roman" w:eastAsia="仿宋" w:cs="Times New Roman"/>
                <w:color w:val="000000"/>
                <w:kern w:val="0"/>
                <w:sz w:val="20"/>
                <w:lang w:eastAsia="zh-CN" w:bidi="ar"/>
              </w:rPr>
              <w:t>进度计划、</w:t>
            </w:r>
            <w:r>
              <w:rPr>
                <w:rFonts w:hint="default" w:ascii="Times New Roman" w:hAnsi="Times New Roman" w:eastAsia="仿宋" w:cs="Times New Roman"/>
                <w:color w:val="000000"/>
                <w:kern w:val="0"/>
                <w:sz w:val="20"/>
                <w:lang w:bidi="ar"/>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产出质量</w:t>
            </w:r>
          </w:p>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（1</w:t>
            </w:r>
            <w:r>
              <w:rPr>
                <w:rFonts w:hint="default"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质量检测达标情况</w:t>
            </w:r>
          </w:p>
        </w:tc>
        <w:tc>
          <w:tcPr>
            <w:tcW w:w="156"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val="en-US" w:eastAsia="zh-CN" w:bidi="ar"/>
              </w:rPr>
              <w:t>15</w:t>
            </w:r>
          </w:p>
        </w:tc>
        <w:tc>
          <w:tcPr>
            <w:tcW w:w="709"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使用专项债券资金项目是否达到质量检测标准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具备设计中的功能要求</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是否存在后续风险隐患</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用于反映和考核专项债券项目建设质量及存在的风险情况。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①项目建设过程中使用的材料（器材）是否达到质量标准；</w:t>
            </w:r>
          </w:p>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②</w:t>
            </w:r>
            <w:r>
              <w:rPr>
                <w:rFonts w:hint="default" w:ascii="Times New Roman" w:hAnsi="Times New Roman" w:eastAsia="仿宋" w:cs="Times New Roman"/>
                <w:color w:val="000000"/>
                <w:kern w:val="0"/>
                <w:sz w:val="20"/>
                <w:highlight w:val="none"/>
                <w:lang w:eastAsia="zh-CN" w:bidi="ar"/>
              </w:rPr>
              <w:t>项目资产质量符合相关的质量要求；</w:t>
            </w:r>
          </w:p>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③</w:t>
            </w:r>
            <w:r>
              <w:rPr>
                <w:rFonts w:hint="default" w:ascii="Times New Roman" w:hAnsi="Times New Roman" w:eastAsia="仿宋" w:cs="Times New Roman"/>
                <w:color w:val="000000"/>
                <w:kern w:val="0"/>
                <w:sz w:val="20"/>
                <w:highlight w:val="none"/>
                <w:lang w:val="en-US" w:eastAsia="zh-CN" w:bidi="ar"/>
              </w:rPr>
              <w:t>项目实际产出质量与预期或目标一致</w:t>
            </w:r>
            <w:r>
              <w:rPr>
                <w:rFonts w:hint="eastAsia" w:ascii="Times New Roman" w:hAnsi="Times New Roman" w:eastAsia="仿宋" w:cs="Times New Roman"/>
                <w:color w:val="000000"/>
                <w:kern w:val="0"/>
                <w:sz w:val="20"/>
                <w:highlight w:val="none"/>
                <w:lang w:val="en-US" w:eastAsia="zh-CN" w:bidi="ar"/>
              </w:rPr>
              <w:t>。</w:t>
            </w:r>
          </w:p>
        </w:tc>
        <w:tc>
          <w:tcPr>
            <w:tcW w:w="295"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100%</w:t>
            </w:r>
          </w:p>
        </w:tc>
        <w:tc>
          <w:tcPr>
            <w:tcW w:w="310"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计划指标</w:t>
            </w:r>
          </w:p>
        </w:tc>
        <w:tc>
          <w:tcPr>
            <w:tcW w:w="585"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完全符合以上条件得1</w:t>
            </w:r>
            <w:r>
              <w:rPr>
                <w:rFonts w:hint="default"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存在一处不符合</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w:t>
            </w:r>
            <w:r>
              <w:rPr>
                <w:rFonts w:hint="eastAsia"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案卷研究、基础数据、</w:t>
            </w:r>
            <w:r>
              <w:rPr>
                <w:rFonts w:hint="eastAsia" w:ascii="Times New Roman" w:hAnsi="Times New Roman" w:eastAsia="仿宋" w:cs="Times New Roman"/>
                <w:color w:val="000000"/>
                <w:kern w:val="0"/>
                <w:sz w:val="20"/>
                <w:highlight w:val="none"/>
                <w:lang w:eastAsia="zh-CN" w:bidi="ar"/>
              </w:rPr>
              <w:t>质量报告、</w:t>
            </w:r>
            <w:r>
              <w:rPr>
                <w:rFonts w:hint="default" w:ascii="Times New Roman" w:hAnsi="Times New Roman" w:eastAsia="仿宋" w:cs="Times New Roman"/>
                <w:color w:val="000000"/>
                <w:kern w:val="0"/>
                <w:sz w:val="20"/>
                <w:highlight w:val="none"/>
                <w:lang w:bidi="ar"/>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restar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产出时效</w:t>
            </w:r>
          </w:p>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w:t>
            </w:r>
            <w:r>
              <w:rPr>
                <w:rFonts w:hint="default"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资金拨付及时情况</w:t>
            </w:r>
          </w:p>
        </w:tc>
        <w:tc>
          <w:tcPr>
            <w:tcW w:w="156"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eastAsia" w:ascii="Times New Roman" w:hAnsi="Times New Roman" w:eastAsia="仿宋" w:cs="Times New Roman"/>
                <w:color w:val="000000"/>
                <w:kern w:val="0"/>
                <w:sz w:val="20"/>
                <w:highlight w:val="none"/>
                <w:lang w:val="en-US" w:eastAsia="zh-CN" w:bidi="ar"/>
              </w:rPr>
              <w:t>4</w:t>
            </w:r>
          </w:p>
        </w:tc>
        <w:tc>
          <w:tcPr>
            <w:tcW w:w="709"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使用专项债券资金项目是否按合同约定支出</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是否受到了风险因素的影响</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用于反映和考核专项债券项目资金使用时效和使用债券资金单位防范风险的能力。</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①资金拨付是否严格按照合同约定付款周期执行；</w:t>
            </w:r>
          </w:p>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②是否存在因资金拨付不及时影响项目进度的情况。</w:t>
            </w:r>
          </w:p>
        </w:tc>
        <w:tc>
          <w:tcPr>
            <w:tcW w:w="295"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[0</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1]</w:t>
            </w:r>
          </w:p>
        </w:tc>
        <w:tc>
          <w:tcPr>
            <w:tcW w:w="310"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通用标准</w:t>
            </w:r>
          </w:p>
        </w:tc>
        <w:tc>
          <w:tcPr>
            <w:tcW w:w="585"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完全符合以上条件得</w:t>
            </w:r>
            <w:r>
              <w:rPr>
                <w:rFonts w:hint="eastAsia" w:ascii="Times New Roman" w:hAnsi="Times New Roman" w:eastAsia="仿宋" w:cs="Times New Roman"/>
                <w:color w:val="000000"/>
                <w:kern w:val="0"/>
                <w:sz w:val="20"/>
                <w:highlight w:val="none"/>
                <w:lang w:val="en-US" w:eastAsia="zh-CN" w:bidi="ar"/>
              </w:rPr>
              <w:t>4</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①</w:t>
            </w:r>
            <w:r>
              <w:rPr>
                <w:rFonts w:hint="eastAsia" w:ascii="Times New Roman" w:hAnsi="Times New Roman" w:eastAsia="仿宋" w:cs="Times New Roman"/>
                <w:color w:val="000000"/>
                <w:kern w:val="0"/>
                <w:sz w:val="20"/>
                <w:highlight w:val="none"/>
                <w:lang w:eastAsia="zh-CN" w:bidi="ar"/>
              </w:rPr>
              <w:t>发现</w:t>
            </w:r>
            <w:r>
              <w:rPr>
                <w:rFonts w:hint="default" w:ascii="Times New Roman" w:hAnsi="Times New Roman" w:eastAsia="仿宋" w:cs="Times New Roman"/>
                <w:color w:val="000000"/>
                <w:kern w:val="0"/>
                <w:sz w:val="20"/>
                <w:highlight w:val="none"/>
                <w:lang w:bidi="ar"/>
              </w:rPr>
              <w:t>一处不符合</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w:t>
            </w:r>
            <w:r>
              <w:rPr>
                <w:rFonts w:hint="eastAsia" w:ascii="Times New Roman" w:hAnsi="Times New Roman" w:eastAsia="仿宋" w:cs="Times New Roman"/>
                <w:color w:val="000000"/>
                <w:kern w:val="0"/>
                <w:sz w:val="20"/>
                <w:highlight w:val="none"/>
                <w:lang w:val="en-US" w:eastAsia="zh-CN" w:bidi="ar"/>
              </w:rPr>
              <w:t>1</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扣完为止。</w:t>
            </w:r>
            <w:r>
              <w:rPr>
                <w:rFonts w:hint="eastAsia" w:ascii="Times New Roman" w:hAnsi="Times New Roman" w:eastAsia="仿宋" w:cs="Times New Roman"/>
                <w:color w:val="000000"/>
                <w:kern w:val="0"/>
                <w:sz w:val="20"/>
                <w:highlight w:val="none"/>
                <w:lang w:eastAsia="zh-CN" w:bidi="ar"/>
              </w:rPr>
              <w:t>存在</w:t>
            </w:r>
            <w:r>
              <w:rPr>
                <w:rFonts w:hint="default" w:ascii="Times New Roman" w:hAnsi="Times New Roman" w:eastAsia="仿宋" w:cs="Times New Roman"/>
                <w:color w:val="000000"/>
                <w:kern w:val="0"/>
                <w:sz w:val="20"/>
                <w:highlight w:val="none"/>
                <w:lang w:bidi="ar"/>
              </w:rPr>
              <w:t>②</w:t>
            </w:r>
            <w:r>
              <w:rPr>
                <w:rFonts w:hint="eastAsia" w:ascii="Times New Roman" w:hAnsi="Times New Roman" w:eastAsia="仿宋" w:cs="Times New Roman"/>
                <w:color w:val="000000"/>
                <w:kern w:val="0"/>
                <w:sz w:val="20"/>
                <w:highlight w:val="none"/>
                <w:lang w:eastAsia="zh-CN" w:bidi="ar"/>
              </w:rPr>
              <w:t>，则该项不得分</w:t>
            </w:r>
            <w:r>
              <w:rPr>
                <w:rFonts w:hint="eastAsia" w:ascii="Times New Roman" w:hAnsi="Times New Roman" w:eastAsia="仿宋" w:cs="Times New Roman"/>
                <w:color w:val="000000"/>
                <w:kern w:val="0"/>
                <w:sz w:val="20"/>
                <w:highlight w:val="none"/>
                <w:lang w:val="en-US" w:eastAsia="zh-CN" w:bidi="ar"/>
              </w:rPr>
              <w:t>。</w:t>
            </w:r>
          </w:p>
        </w:tc>
        <w:tc>
          <w:tcPr>
            <w:tcW w:w="412"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项目合同、项目支出凭证等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center"/>
          </w:tcPr>
          <w:p>
            <w:pPr>
              <w:widowControl/>
              <w:jc w:val="center"/>
              <w:textAlignment w:val="center"/>
              <w:rPr>
                <w:rFonts w:hint="default" w:ascii="Times New Roman" w:hAnsi="Times New Roman" w:eastAsia="仿宋" w:cs="Times New Roman"/>
                <w:color w:val="000000"/>
                <w:kern w:val="0"/>
                <w:sz w:val="20"/>
                <w:highlight w:val="none"/>
                <w:lang w:bidi="ar"/>
              </w:rPr>
            </w:pPr>
          </w:p>
        </w:tc>
        <w:tc>
          <w:tcPr>
            <w:tcW w:w="36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开工及时率</w:t>
            </w:r>
          </w:p>
        </w:tc>
        <w:tc>
          <w:tcPr>
            <w:tcW w:w="156"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w:t>
            </w:r>
          </w:p>
        </w:tc>
        <w:tc>
          <w:tcPr>
            <w:tcW w:w="709" w:type="pct"/>
            <w:noWrap w:val="0"/>
            <w:vAlign w:val="center"/>
          </w:tcPr>
          <w:p>
            <w:pPr>
              <w:widowControl/>
              <w:jc w:val="left"/>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highlight w:val="none"/>
                <w:lang w:bidi="ar"/>
              </w:rPr>
              <w:t>使用专项债券资金项目是否</w:t>
            </w:r>
            <w:r>
              <w:rPr>
                <w:rFonts w:hint="eastAsia" w:ascii="Times New Roman" w:hAnsi="Times New Roman" w:eastAsia="仿宋" w:cs="Times New Roman"/>
                <w:color w:val="000000"/>
                <w:kern w:val="0"/>
                <w:sz w:val="20"/>
                <w:highlight w:val="none"/>
                <w:lang w:eastAsia="zh-CN" w:bidi="ar"/>
              </w:rPr>
              <w:t>按计划期限开工，</w:t>
            </w:r>
            <w:r>
              <w:rPr>
                <w:rFonts w:hint="default" w:ascii="Times New Roman" w:hAnsi="Times New Roman" w:eastAsia="仿宋" w:cs="Times New Roman"/>
                <w:color w:val="000000"/>
                <w:kern w:val="0"/>
                <w:sz w:val="20"/>
                <w:highlight w:val="none"/>
                <w:lang w:bidi="ar"/>
              </w:rPr>
              <w:t>用于反映和考核专项债券项目</w:t>
            </w:r>
            <w:r>
              <w:rPr>
                <w:rFonts w:hint="eastAsia" w:ascii="Times New Roman" w:hAnsi="Times New Roman" w:eastAsia="仿宋" w:cs="Times New Roman"/>
                <w:color w:val="000000"/>
                <w:kern w:val="0"/>
                <w:sz w:val="20"/>
                <w:highlight w:val="none"/>
                <w:lang w:eastAsia="zh-CN" w:bidi="ar"/>
              </w:rPr>
              <w:t>实际进度与计划进度匹配情况</w:t>
            </w:r>
            <w:r>
              <w:rPr>
                <w:rFonts w:hint="default" w:ascii="Times New Roman" w:hAnsi="Times New Roman" w:eastAsia="仿宋" w:cs="Times New Roman"/>
                <w:color w:val="000000"/>
                <w:kern w:val="0"/>
                <w:sz w:val="20"/>
                <w:highlight w:val="none"/>
                <w:lang w:bidi="ar"/>
              </w:rPr>
              <w:t>。</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是否按照计划期限开工。</w:t>
            </w:r>
          </w:p>
        </w:tc>
        <w:tc>
          <w:tcPr>
            <w:tcW w:w="295"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100%</w:t>
            </w:r>
          </w:p>
        </w:tc>
        <w:tc>
          <w:tcPr>
            <w:tcW w:w="310"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highlight w:val="none"/>
                <w:lang w:bidi="ar"/>
              </w:rPr>
              <w:t>计划指标</w:t>
            </w:r>
          </w:p>
        </w:tc>
        <w:tc>
          <w:tcPr>
            <w:tcW w:w="585"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按照计划开工，得满分，未按计划开工，不得分。</w:t>
            </w:r>
          </w:p>
        </w:tc>
        <w:tc>
          <w:tcPr>
            <w:tcW w:w="412"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中标通知书、施工合同、开工报告等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auto"/>
                <w:kern w:val="0"/>
                <w:sz w:val="20"/>
                <w:lang w:eastAsia="zh-CN" w:bidi="ar"/>
              </w:rPr>
            </w:pPr>
            <w:r>
              <w:rPr>
                <w:rFonts w:hint="default" w:ascii="Times New Roman" w:hAnsi="Times New Roman" w:eastAsia="仿宋" w:cs="Times New Roman"/>
                <w:color w:val="auto"/>
                <w:kern w:val="0"/>
                <w:sz w:val="20"/>
                <w:lang w:bidi="ar"/>
              </w:rPr>
              <w:t>产出成本</w:t>
            </w:r>
          </w:p>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（10分）</w:t>
            </w:r>
          </w:p>
        </w:tc>
        <w:tc>
          <w:tcPr>
            <w:tcW w:w="368" w:type="pct"/>
            <w:noWrap w:val="0"/>
            <w:vAlign w:val="center"/>
          </w:tcPr>
          <w:p>
            <w:pPr>
              <w:widowControl/>
              <w:jc w:val="center"/>
              <w:textAlignment w:val="center"/>
              <w:rPr>
                <w:rFonts w:hint="default" w:ascii="Times New Roman" w:hAnsi="Times New Roman" w:eastAsia="仿宋" w:cs="Times New Roman"/>
                <w:color w:val="auto"/>
                <w:sz w:val="20"/>
                <w:lang w:val="en-US" w:eastAsia="zh-CN"/>
              </w:rPr>
            </w:pPr>
            <w:r>
              <w:rPr>
                <w:rFonts w:hint="default" w:ascii="Times New Roman" w:hAnsi="Times New Roman" w:eastAsia="仿宋" w:cs="Times New Roman"/>
                <w:color w:val="auto"/>
                <w:kern w:val="0"/>
                <w:sz w:val="20"/>
                <w:lang w:val="en-US" w:eastAsia="zh-CN" w:bidi="ar"/>
              </w:rPr>
              <w:t>产出成本偏离度</w:t>
            </w:r>
          </w:p>
        </w:tc>
        <w:tc>
          <w:tcPr>
            <w:tcW w:w="156" w:type="pct"/>
            <w:noWrap w:val="0"/>
            <w:vAlign w:val="center"/>
          </w:tcPr>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10</w:t>
            </w:r>
          </w:p>
        </w:tc>
        <w:tc>
          <w:tcPr>
            <w:tcW w:w="709" w:type="pct"/>
            <w:noWrap w:val="0"/>
            <w:vAlign w:val="center"/>
          </w:tcPr>
          <w:p>
            <w:pPr>
              <w:widowControl/>
              <w:jc w:val="left"/>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使用专项债券资金项目</w:t>
            </w:r>
            <w:r>
              <w:rPr>
                <w:rFonts w:hint="default" w:ascii="Times New Roman" w:hAnsi="Times New Roman" w:eastAsia="仿宋" w:cs="Times New Roman"/>
                <w:color w:val="auto"/>
                <w:kern w:val="0"/>
                <w:sz w:val="20"/>
                <w:lang w:val="en-US" w:eastAsia="zh-CN" w:bidi="ar"/>
              </w:rPr>
              <w:t>实际产出成本偏离目标产出成本的幅度</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用于反映和考核专项债券项目建设成本及使用项目资金的情况。</w:t>
            </w:r>
          </w:p>
        </w:tc>
        <w:tc>
          <w:tcPr>
            <w:tcW w:w="1447" w:type="pct"/>
            <w:noWrap w:val="0"/>
            <w:vAlign w:val="center"/>
          </w:tcPr>
          <w:p>
            <w:pPr>
              <w:widowControl/>
              <w:jc w:val="left"/>
              <w:textAlignment w:val="center"/>
              <w:rPr>
                <w:rFonts w:hint="eastAsia" w:ascii="Times New Roman" w:hAnsi="Times New Roman" w:eastAsia="仿宋" w:cs="Times New Roman"/>
                <w:color w:val="auto"/>
                <w:kern w:val="0"/>
                <w:sz w:val="20"/>
                <w:lang w:eastAsia="zh-CN" w:bidi="ar"/>
              </w:rPr>
            </w:pPr>
            <w:r>
              <w:rPr>
                <w:rFonts w:hint="default" w:ascii="Times New Roman" w:hAnsi="Times New Roman" w:eastAsia="仿宋" w:cs="Times New Roman"/>
                <w:color w:val="auto"/>
                <w:kern w:val="0"/>
                <w:sz w:val="20"/>
                <w:lang w:val="en-US" w:eastAsia="zh-CN" w:bidi="ar"/>
              </w:rPr>
              <w:t>产出成本偏离度</w:t>
            </w:r>
            <w:r>
              <w:rPr>
                <w:rFonts w:hint="default" w:ascii="Times New Roman" w:hAnsi="Times New Roman" w:eastAsia="仿宋" w:cs="Times New Roman"/>
                <w:color w:val="auto"/>
                <w:kern w:val="0"/>
                <w:sz w:val="20"/>
                <w:lang w:bidi="ar"/>
              </w:rPr>
              <w:t>=[|</w:t>
            </w:r>
            <w:r>
              <w:rPr>
                <w:rFonts w:hint="default" w:ascii="Times New Roman" w:hAnsi="Times New Roman" w:eastAsia="仿宋" w:cs="Times New Roman"/>
                <w:color w:val="auto"/>
                <w:kern w:val="0"/>
                <w:sz w:val="20"/>
                <w:lang w:val="en-US" w:eastAsia="zh-CN" w:bidi="ar"/>
              </w:rPr>
              <w:t>（实际成本-计划成本）|/计划成本]</w:t>
            </w:r>
            <w:r>
              <w:rPr>
                <w:rFonts w:hint="default" w:ascii="Times New Roman" w:hAnsi="Times New Roman" w:eastAsia="仿宋" w:cs="Times New Roman"/>
                <w:color w:val="auto"/>
                <w:kern w:val="0"/>
                <w:sz w:val="20"/>
                <w:lang w:bidi="ar"/>
              </w:rPr>
              <w:t>×100%。</w:t>
            </w:r>
          </w:p>
          <w:p>
            <w:pPr>
              <w:widowControl/>
              <w:jc w:val="left"/>
              <w:textAlignment w:val="center"/>
              <w:rPr>
                <w:rFonts w:hint="eastAsia" w:ascii="Times New Roman" w:hAnsi="Times New Roman" w:eastAsia="仿宋" w:cs="Times New Roman"/>
                <w:color w:val="auto"/>
                <w:kern w:val="0"/>
                <w:sz w:val="20"/>
                <w:lang w:eastAsia="zh-CN" w:bidi="ar"/>
              </w:rPr>
            </w:pPr>
            <w:r>
              <w:rPr>
                <w:rFonts w:hint="default" w:ascii="Times New Roman" w:hAnsi="Times New Roman" w:eastAsia="仿宋" w:cs="Times New Roman"/>
                <w:color w:val="auto"/>
                <w:kern w:val="0"/>
                <w:sz w:val="20"/>
                <w:lang w:bidi="ar"/>
              </w:rPr>
              <w:t>实际成本：项目单位如期、保质、完成阶段性工作实际所耗费的支出。</w:t>
            </w:r>
          </w:p>
          <w:p>
            <w:pPr>
              <w:widowControl/>
              <w:jc w:val="left"/>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计划成本：项目单位为完成阶段性工作目标计划安排的支出。</w:t>
            </w:r>
          </w:p>
        </w:tc>
        <w:tc>
          <w:tcPr>
            <w:tcW w:w="295" w:type="pct"/>
            <w:noWrap w:val="0"/>
            <w:vAlign w:val="center"/>
          </w:tcPr>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val="en-US" w:eastAsia="zh-CN" w:bidi="ar"/>
              </w:rPr>
              <w:t>≤</w:t>
            </w:r>
            <w:r>
              <w:rPr>
                <w:rFonts w:hint="eastAsia" w:ascii="Times New Roman" w:hAnsi="Times New Roman" w:eastAsia="仿宋" w:cs="Times New Roman"/>
                <w:color w:val="auto"/>
                <w:kern w:val="0"/>
                <w:sz w:val="20"/>
                <w:lang w:val="en-US" w:eastAsia="zh-CN" w:bidi="ar"/>
              </w:rPr>
              <w:t>5</w:t>
            </w:r>
            <w:r>
              <w:rPr>
                <w:rFonts w:hint="default" w:ascii="Times New Roman" w:hAnsi="Times New Roman" w:eastAsia="仿宋" w:cs="Times New Roman"/>
                <w:color w:val="auto"/>
                <w:kern w:val="0"/>
                <w:sz w:val="20"/>
                <w:lang w:bidi="ar"/>
              </w:rPr>
              <w:t>%</w:t>
            </w:r>
          </w:p>
        </w:tc>
        <w:tc>
          <w:tcPr>
            <w:tcW w:w="310" w:type="pct"/>
            <w:noWrap w:val="0"/>
            <w:vAlign w:val="center"/>
          </w:tcPr>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计划指标</w:t>
            </w:r>
          </w:p>
        </w:tc>
        <w:tc>
          <w:tcPr>
            <w:tcW w:w="585" w:type="pct"/>
            <w:noWrap w:val="0"/>
            <w:vAlign w:val="center"/>
          </w:tcPr>
          <w:p>
            <w:pPr>
              <w:widowControl/>
              <w:jc w:val="left"/>
              <w:textAlignment w:val="center"/>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仿宋" w:cs="Times New Roman"/>
                <w:color w:val="auto"/>
                <w:kern w:val="0"/>
                <w:sz w:val="20"/>
                <w:lang w:val="en-US" w:eastAsia="zh-CN" w:bidi="ar"/>
              </w:rPr>
              <w:t>产出成本偏离度≤</w:t>
            </w:r>
            <w:r>
              <w:rPr>
                <w:rFonts w:hint="eastAsia" w:ascii="Times New Roman" w:hAnsi="Times New Roman" w:eastAsia="仿宋" w:cs="Times New Roman"/>
                <w:color w:val="auto"/>
                <w:kern w:val="0"/>
                <w:sz w:val="20"/>
                <w:lang w:val="en-US" w:eastAsia="zh-CN" w:bidi="ar"/>
              </w:rPr>
              <w:t>5</w:t>
            </w:r>
            <w:r>
              <w:rPr>
                <w:rFonts w:hint="default" w:ascii="Times New Roman" w:hAnsi="Times New Roman" w:eastAsia="仿宋" w:cs="Times New Roman"/>
                <w:color w:val="auto"/>
                <w:kern w:val="0"/>
                <w:sz w:val="20"/>
                <w:lang w:bidi="ar"/>
              </w:rPr>
              <w:t>%</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该指标得满分</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val="en-US" w:eastAsia="zh-CN" w:bidi="ar"/>
              </w:rPr>
              <w:t>产出成本偏离度＞</w:t>
            </w:r>
            <w:r>
              <w:rPr>
                <w:rFonts w:hint="eastAsia" w:ascii="Times New Roman" w:hAnsi="Times New Roman" w:eastAsia="仿宋" w:cs="Times New Roman"/>
                <w:color w:val="auto"/>
                <w:kern w:val="0"/>
                <w:sz w:val="20"/>
                <w:lang w:val="en-US" w:eastAsia="zh-CN" w:bidi="ar"/>
              </w:rPr>
              <w:t>5</w:t>
            </w:r>
            <w:r>
              <w:rPr>
                <w:rFonts w:hint="default" w:ascii="Times New Roman" w:hAnsi="Times New Roman" w:eastAsia="仿宋" w:cs="Times New Roman"/>
                <w:color w:val="auto"/>
                <w:kern w:val="0"/>
                <w:sz w:val="20"/>
                <w:lang w:bidi="ar"/>
              </w:rPr>
              <w:t>%</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每超出一个百分点</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扣</w:t>
            </w:r>
            <w:r>
              <w:rPr>
                <w:rFonts w:hint="eastAsia" w:ascii="Times New Roman" w:hAnsi="Times New Roman" w:eastAsia="仿宋" w:cs="Times New Roman"/>
                <w:color w:val="auto"/>
                <w:kern w:val="0"/>
                <w:sz w:val="20"/>
                <w:lang w:val="en-US" w:eastAsia="zh-CN" w:bidi="ar"/>
              </w:rPr>
              <w:t>1</w:t>
            </w:r>
            <w:r>
              <w:rPr>
                <w:rFonts w:hint="default" w:ascii="Times New Roman" w:hAnsi="Times New Roman" w:eastAsia="仿宋" w:cs="Times New Roman"/>
                <w:color w:val="auto"/>
                <w:kern w:val="0"/>
                <w:sz w:val="20"/>
                <w:lang w:bidi="ar"/>
              </w:rPr>
              <w:t>分</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效益（20分）</w:t>
            </w:r>
          </w:p>
        </w:tc>
        <w:tc>
          <w:tcPr>
            <w:tcW w:w="458" w:type="pct"/>
            <w:vMerge w:val="restar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社会效益</w:t>
            </w:r>
          </w:p>
          <w:p>
            <w:pPr>
              <w:widowControl/>
              <w:jc w:val="center"/>
              <w:textAlignment w:val="center"/>
              <w:rPr>
                <w:rFonts w:hint="default" w:ascii="Times New Roman" w:hAnsi="Times New Roman" w:eastAsia="仿宋" w:cs="Times New Roman"/>
                <w:color w:val="000000"/>
                <w:sz w:val="20"/>
                <w:highlight w:val="none"/>
              </w:rPr>
            </w:pPr>
            <w:r>
              <w:rPr>
                <w:rFonts w:hint="default" w:ascii="Times New Roman" w:hAnsi="Times New Roman" w:eastAsia="仿宋" w:cs="Times New Roman"/>
                <w:color w:val="000000"/>
                <w:kern w:val="0"/>
                <w:sz w:val="20"/>
                <w:highlight w:val="none"/>
                <w:lang w:bidi="ar"/>
              </w:rPr>
              <w:t>（5分）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仿宋" w:hAnsi="仿宋" w:eastAsia="仿宋" w:cs="仿宋"/>
                <w:i w:val="0"/>
                <w:iCs w:val="0"/>
                <w:color w:val="000000"/>
                <w:kern w:val="0"/>
                <w:sz w:val="21"/>
                <w:szCs w:val="21"/>
                <w:u w:val="none"/>
                <w:lang w:val="en-US" w:eastAsia="zh-CN" w:bidi="ar"/>
              </w:rPr>
              <w:t>城市管网漏损率</w:t>
            </w:r>
          </w:p>
        </w:tc>
        <w:tc>
          <w:tcPr>
            <w:tcW w:w="156" w:type="pct"/>
            <w:noWrap w:val="0"/>
            <w:vAlign w:val="center"/>
          </w:tcPr>
          <w:p>
            <w:pPr>
              <w:widowControl/>
              <w:jc w:val="center"/>
              <w:textAlignment w:val="center"/>
              <w:rPr>
                <w:rFonts w:hint="default" w:ascii="Times New Roman" w:hAnsi="Times New Roman" w:eastAsia="仿宋" w:cs="Times New Roman"/>
                <w:color w:val="000000"/>
                <w:sz w:val="20"/>
                <w:highlight w:val="none"/>
              </w:rPr>
            </w:pPr>
            <w:r>
              <w:rPr>
                <w:rFonts w:hint="eastAsia" w:ascii="Times New Roman" w:hAnsi="Times New Roman" w:eastAsia="仿宋" w:cs="Times New Roman"/>
                <w:color w:val="000000"/>
                <w:kern w:val="0"/>
                <w:sz w:val="20"/>
                <w:highlight w:val="none"/>
                <w:lang w:val="en-US" w:eastAsia="zh-CN" w:bidi="ar"/>
              </w:rPr>
              <w:t>3</w:t>
            </w:r>
          </w:p>
        </w:tc>
        <w:tc>
          <w:tcPr>
            <w:tcW w:w="709" w:type="pct"/>
            <w:noWrap w:val="0"/>
            <w:vAlign w:val="center"/>
          </w:tcPr>
          <w:p>
            <w:pPr>
              <w:widowControl/>
              <w:jc w:val="left"/>
              <w:textAlignment w:val="center"/>
              <w:rPr>
                <w:rFonts w:hint="default" w:ascii="Times New Roman" w:hAnsi="Times New Roman" w:eastAsia="仿宋" w:cs="Times New Roman"/>
                <w:color w:val="000000"/>
                <w:sz w:val="20"/>
                <w:highlight w:val="none"/>
              </w:rPr>
            </w:pPr>
            <w:r>
              <w:rPr>
                <w:rFonts w:hint="default" w:ascii="Times New Roman" w:hAnsi="Times New Roman" w:eastAsia="仿宋" w:cs="Times New Roman"/>
                <w:color w:val="000000"/>
                <w:kern w:val="0"/>
                <w:sz w:val="20"/>
                <w:highlight w:val="none"/>
                <w:lang w:bidi="ar"/>
              </w:rPr>
              <w:t>项目</w:t>
            </w:r>
            <w:r>
              <w:rPr>
                <w:rFonts w:hint="eastAsia" w:ascii="Times New Roman" w:hAnsi="Times New Roman" w:eastAsia="仿宋" w:cs="Times New Roman"/>
                <w:color w:val="000000"/>
                <w:kern w:val="0"/>
                <w:sz w:val="20"/>
                <w:highlight w:val="none"/>
                <w:lang w:val="en-US" w:eastAsia="zh-CN" w:bidi="ar"/>
              </w:rPr>
              <w:t>已</w:t>
            </w:r>
            <w:r>
              <w:rPr>
                <w:rFonts w:hint="default" w:ascii="Times New Roman" w:hAnsi="Times New Roman" w:eastAsia="仿宋" w:cs="Times New Roman"/>
                <w:color w:val="000000"/>
                <w:kern w:val="0"/>
                <w:sz w:val="20"/>
                <w:highlight w:val="none"/>
                <w:lang w:bidi="ar"/>
              </w:rPr>
              <w:t>建设</w:t>
            </w:r>
            <w:r>
              <w:rPr>
                <w:rFonts w:hint="eastAsia" w:ascii="Times New Roman" w:hAnsi="Times New Roman" w:eastAsia="仿宋" w:cs="Times New Roman"/>
                <w:color w:val="000000"/>
                <w:kern w:val="0"/>
                <w:sz w:val="20"/>
                <w:highlight w:val="none"/>
                <w:lang w:val="en-US" w:eastAsia="zh-CN" w:bidi="ar"/>
              </w:rPr>
              <w:t>完成</w:t>
            </w:r>
            <w:r>
              <w:rPr>
                <w:rFonts w:hint="default" w:ascii="Times New Roman" w:hAnsi="Times New Roman" w:eastAsia="仿宋" w:cs="Times New Roman"/>
                <w:color w:val="000000"/>
                <w:kern w:val="0"/>
                <w:sz w:val="20"/>
                <w:highlight w:val="none"/>
                <w:lang w:bidi="ar"/>
              </w:rPr>
              <w:t>管网漏损控制情况。</w:t>
            </w:r>
          </w:p>
        </w:tc>
        <w:tc>
          <w:tcPr>
            <w:tcW w:w="1447" w:type="pct"/>
            <w:noWrap w:val="0"/>
            <w:vAlign w:val="center"/>
          </w:tcPr>
          <w:p>
            <w:pPr>
              <w:jc w:val="left"/>
              <w:rPr>
                <w:rFonts w:hint="default" w:ascii="Times New Roman" w:hAnsi="Times New Roman" w:eastAsia="仿宋" w:cs="Times New Roman"/>
                <w:color w:val="000000"/>
                <w:sz w:val="20"/>
                <w:highlight w:val="none"/>
                <w:lang w:val="en-US" w:eastAsia="zh-CN"/>
              </w:rPr>
            </w:pPr>
            <w:r>
              <w:rPr>
                <w:rFonts w:hint="eastAsia" w:ascii="Times New Roman" w:hAnsi="Times New Roman" w:eastAsia="仿宋" w:cs="Times New Roman"/>
                <w:color w:val="000000"/>
                <w:kern w:val="0"/>
                <w:sz w:val="20"/>
                <w:highlight w:val="none"/>
                <w:lang w:val="en-US" w:eastAsia="zh-CN" w:bidi="ar"/>
              </w:rPr>
              <w:t>漏损率=漏水量/供水量</w:t>
            </w: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100%</w:t>
            </w:r>
          </w:p>
        </w:tc>
        <w:tc>
          <w:tcPr>
            <w:tcW w:w="295" w:type="pct"/>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≤10%</w:t>
            </w:r>
          </w:p>
        </w:tc>
        <w:tc>
          <w:tcPr>
            <w:tcW w:w="310" w:type="pct"/>
            <w:noWrap w:val="0"/>
            <w:vAlign w:val="center"/>
          </w:tcPr>
          <w:p>
            <w:pPr>
              <w:jc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通用标准</w:t>
            </w:r>
          </w:p>
        </w:tc>
        <w:tc>
          <w:tcPr>
            <w:tcW w:w="585" w:type="pct"/>
            <w:noWrap w:val="0"/>
            <w:vAlign w:val="center"/>
          </w:tcPr>
          <w:p>
            <w:pPr>
              <w:jc w:val="left"/>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漏损率达到标杆值，得满分，否则不得分。</w:t>
            </w:r>
          </w:p>
        </w:tc>
        <w:tc>
          <w:tcPr>
            <w:tcW w:w="412" w:type="pct"/>
            <w:noWrap w:val="0"/>
            <w:vAlign w:val="center"/>
          </w:tcPr>
          <w:p>
            <w:pPr>
              <w:jc w:val="left"/>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center"/>
          </w:tcPr>
          <w:p>
            <w:pPr>
              <w:widowControl/>
              <w:jc w:val="center"/>
              <w:textAlignment w:val="center"/>
              <w:rPr>
                <w:rFonts w:hint="default" w:ascii="Times New Roman" w:hAnsi="Times New Roman" w:eastAsia="仿宋" w:cs="Times New Roman"/>
                <w:color w:val="000000"/>
                <w:kern w:val="0"/>
                <w:sz w:val="20"/>
                <w:lang w:bidi="ar"/>
              </w:rPr>
            </w:pPr>
          </w:p>
        </w:tc>
        <w:tc>
          <w:tcPr>
            <w:tcW w:w="458" w:type="pct"/>
            <w:vMerge w:val="continue"/>
            <w:noWrap w:val="0"/>
            <w:vAlign w:val="center"/>
          </w:tcPr>
          <w:p>
            <w:pPr>
              <w:widowControl/>
              <w:jc w:val="center"/>
              <w:textAlignment w:val="center"/>
              <w:rPr>
                <w:rFonts w:hint="default" w:ascii="Times New Roman" w:hAnsi="Times New Roman" w:eastAsia="仿宋" w:cs="Times New Roman"/>
                <w:color w:val="000000"/>
                <w:kern w:val="0"/>
                <w:sz w:val="20"/>
                <w:highlight w:val="none"/>
                <w:lang w:bidi="ar"/>
              </w:rPr>
            </w:pPr>
          </w:p>
        </w:tc>
        <w:tc>
          <w:tcPr>
            <w:tcW w:w="368" w:type="pct"/>
            <w:noWrap w:val="0"/>
            <w:vAlign w:val="center"/>
          </w:tcPr>
          <w:p>
            <w:pPr>
              <w:widowControl/>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居民投诉率</w:t>
            </w:r>
          </w:p>
        </w:tc>
        <w:tc>
          <w:tcPr>
            <w:tcW w:w="156"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2</w:t>
            </w:r>
          </w:p>
        </w:tc>
        <w:tc>
          <w:tcPr>
            <w:tcW w:w="709" w:type="pct"/>
            <w:noWrap w:val="0"/>
            <w:vAlign w:val="center"/>
          </w:tcPr>
          <w:p>
            <w:pPr>
              <w:widowControl/>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考察项目施工期间是否发生周边居民投诉问题，反应项目建设期间对周边居民影响情况情况。</w:t>
            </w:r>
          </w:p>
        </w:tc>
        <w:tc>
          <w:tcPr>
            <w:tcW w:w="1447" w:type="pct"/>
            <w:noWrap w:val="0"/>
            <w:vAlign w:val="center"/>
          </w:tcPr>
          <w:p>
            <w:pPr>
              <w:jc w:val="left"/>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highlight w:val="none"/>
                <w:lang w:val="en-US" w:eastAsia="zh-CN" w:bidi="ar"/>
              </w:rPr>
              <w:t>投诉率=</w:t>
            </w:r>
            <w:r>
              <w:rPr>
                <w:rFonts w:hint="default" w:ascii="Times New Roman" w:hAnsi="Times New Roman" w:eastAsia="仿宋" w:cs="Times New Roman"/>
                <w:color w:val="000000"/>
                <w:sz w:val="20"/>
              </w:rPr>
              <w:t>（</w:t>
            </w:r>
            <w:r>
              <w:rPr>
                <w:rFonts w:hint="eastAsia" w:ascii="Times New Roman" w:hAnsi="Times New Roman" w:eastAsia="仿宋" w:cs="Times New Roman"/>
                <w:color w:val="000000"/>
                <w:sz w:val="20"/>
                <w:lang w:val="en-US" w:eastAsia="zh-CN"/>
              </w:rPr>
              <w:t>投诉人数</w:t>
            </w:r>
            <w:r>
              <w:rPr>
                <w:rFonts w:hint="default" w:ascii="Times New Roman" w:hAnsi="Times New Roman" w:eastAsia="仿宋" w:cs="Times New Roman"/>
                <w:color w:val="000000"/>
                <w:sz w:val="20"/>
              </w:rPr>
              <w:t>/</w:t>
            </w:r>
            <w:r>
              <w:rPr>
                <w:rFonts w:hint="eastAsia" w:ascii="Times New Roman" w:hAnsi="Times New Roman" w:eastAsia="仿宋" w:cs="Times New Roman"/>
                <w:color w:val="000000"/>
                <w:sz w:val="20"/>
                <w:lang w:val="en-US" w:eastAsia="zh-CN"/>
              </w:rPr>
              <w:t>调查总人数</w:t>
            </w:r>
            <w:r>
              <w:rPr>
                <w:rFonts w:hint="default" w:ascii="Times New Roman" w:hAnsi="Times New Roman" w:eastAsia="仿宋" w:cs="Times New Roman"/>
                <w:color w:val="000000"/>
                <w:sz w:val="20"/>
              </w:rPr>
              <w:t>）</w:t>
            </w: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100%</w:t>
            </w:r>
          </w:p>
          <w:p>
            <w:pPr>
              <w:pStyle w:val="2"/>
              <w:rPr>
                <w:rFonts w:hint="eastAsia"/>
                <w:lang w:eastAsia="zh-CN"/>
              </w:rPr>
            </w:pPr>
          </w:p>
        </w:tc>
        <w:tc>
          <w:tcPr>
            <w:tcW w:w="295" w:type="pct"/>
            <w:noWrap w:val="0"/>
            <w:vAlign w:val="center"/>
          </w:tcPr>
          <w:p>
            <w:pPr>
              <w:jc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≤2%</w:t>
            </w:r>
          </w:p>
        </w:tc>
        <w:tc>
          <w:tcPr>
            <w:tcW w:w="310" w:type="pct"/>
            <w:noWrap w:val="0"/>
            <w:vAlign w:val="center"/>
          </w:tcPr>
          <w:p>
            <w:pPr>
              <w:jc w:val="center"/>
              <w:rPr>
                <w:rFonts w:hint="default"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val="en-US" w:eastAsia="zh-CN" w:bidi="ar"/>
              </w:rPr>
              <w:t>计划指标</w:t>
            </w:r>
          </w:p>
        </w:tc>
        <w:tc>
          <w:tcPr>
            <w:tcW w:w="585" w:type="pct"/>
            <w:noWrap w:val="0"/>
            <w:vAlign w:val="center"/>
          </w:tcPr>
          <w:p>
            <w:pPr>
              <w:jc w:val="left"/>
              <w:rPr>
                <w:rFonts w:hint="eastAsia"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投投诉率≤标杆值得满分；当2%≤投诉率＜20%，每增长1%扣0.1分，扣完为止；投诉率≥20%不得分。</w:t>
            </w:r>
          </w:p>
        </w:tc>
        <w:tc>
          <w:tcPr>
            <w:tcW w:w="412" w:type="pct"/>
            <w:noWrap w:val="0"/>
            <w:vAlign w:val="center"/>
          </w:tcPr>
          <w:p>
            <w:pPr>
              <w:jc w:val="left"/>
              <w:rPr>
                <w:rFonts w:hint="default"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lang w:bidi="ar"/>
              </w:rPr>
              <w:t>调查问卷、现场核查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经济效益</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（5分）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项目收益情况</w:t>
            </w:r>
          </w:p>
        </w:tc>
        <w:tc>
          <w:tcPr>
            <w:tcW w:w="156"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5</w:t>
            </w:r>
          </w:p>
        </w:tc>
        <w:tc>
          <w:tcPr>
            <w:tcW w:w="709"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使用专项债券项目对当地经济发展带来直接或间接的正负面影响。如</w:t>
            </w:r>
            <w:r>
              <w:rPr>
                <w:rFonts w:hint="eastAsia" w:ascii="Times New Roman" w:hAnsi="Times New Roman" w:eastAsia="仿宋" w:cs="Times New Roman"/>
                <w:color w:val="000000"/>
                <w:kern w:val="0"/>
                <w:sz w:val="20"/>
                <w:lang w:val="en-US" w:eastAsia="zh-CN" w:bidi="ar"/>
              </w:rPr>
              <w:t>增加行业人均收入</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带动对区域经济影响等。</w:t>
            </w:r>
          </w:p>
        </w:tc>
        <w:tc>
          <w:tcPr>
            <w:tcW w:w="1447"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项目实际产生的收益与计划收益偏离程度。</w:t>
            </w:r>
          </w:p>
        </w:tc>
        <w:tc>
          <w:tcPr>
            <w:tcW w:w="295" w:type="pct"/>
            <w:noWrap w:val="0"/>
            <w:vAlign w:val="center"/>
          </w:tcPr>
          <w:p>
            <w:pPr>
              <w:jc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sz w:val="20"/>
              </w:rPr>
              <w:t>无偏离</w:t>
            </w:r>
          </w:p>
        </w:tc>
        <w:tc>
          <w:tcPr>
            <w:tcW w:w="310" w:type="pct"/>
            <w:noWrap w:val="0"/>
            <w:vAlign w:val="center"/>
          </w:tcPr>
          <w:p>
            <w:pPr>
              <w:jc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sz w:val="20"/>
              </w:rPr>
              <w:t>计划指标</w:t>
            </w:r>
          </w:p>
        </w:tc>
        <w:tc>
          <w:tcPr>
            <w:tcW w:w="585"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正偏离或无偏离得满分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负偏离按比例扣分。</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eastAsia" w:ascii="Times New Roman" w:hAnsi="Times New Roman" w:eastAsia="仿宋" w:cs="Times New Roman"/>
                <w:color w:val="000000"/>
                <w:sz w:val="20"/>
                <w:lang w:eastAsia="zh-CN"/>
              </w:rPr>
            </w:pPr>
            <w:r>
              <w:rPr>
                <w:rFonts w:hint="eastAsia" w:ascii="Times New Roman" w:hAnsi="Times New Roman" w:eastAsia="仿宋" w:cs="Times New Roman"/>
                <w:color w:val="000000"/>
                <w:sz w:val="20"/>
                <w:lang w:val="en-US" w:eastAsia="zh-CN"/>
              </w:rPr>
              <w:t>是不是</w:t>
            </w: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可持续影响</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（5分）</w:t>
            </w:r>
          </w:p>
        </w:tc>
        <w:tc>
          <w:tcPr>
            <w:tcW w:w="368"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w:t>
            </w:r>
            <w:r>
              <w:rPr>
                <w:rFonts w:hint="eastAsia" w:ascii="Times New Roman" w:hAnsi="Times New Roman" w:eastAsia="仿宋" w:cs="Times New Roman"/>
                <w:color w:val="000000"/>
                <w:kern w:val="0"/>
                <w:sz w:val="20"/>
                <w:lang w:val="en-US" w:eastAsia="zh-CN" w:bidi="ar"/>
              </w:rPr>
              <w:t>建筑物</w:t>
            </w:r>
            <w:r>
              <w:rPr>
                <w:rFonts w:hint="default" w:ascii="Times New Roman" w:hAnsi="Times New Roman" w:eastAsia="仿宋" w:cs="Times New Roman"/>
                <w:color w:val="000000"/>
                <w:kern w:val="0"/>
                <w:sz w:val="20"/>
                <w:lang w:bidi="ar"/>
              </w:rPr>
              <w:t>设计可持续年限</w:t>
            </w:r>
          </w:p>
        </w:tc>
        <w:tc>
          <w:tcPr>
            <w:tcW w:w="156"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5</w:t>
            </w:r>
          </w:p>
        </w:tc>
        <w:tc>
          <w:tcPr>
            <w:tcW w:w="709"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使用专项债券项目完工后</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项目单位是否做好项目运营准备工作。如资源配置、潜在风险及建立沟通协调机制等。</w:t>
            </w:r>
          </w:p>
        </w:tc>
        <w:tc>
          <w:tcPr>
            <w:tcW w:w="1447"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项目在符合国家重大区域发展战略情况下</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项目</w:t>
            </w:r>
            <w:r>
              <w:rPr>
                <w:rFonts w:hint="eastAsia" w:ascii="Times New Roman" w:hAnsi="Times New Roman" w:eastAsia="仿宋" w:cs="Times New Roman"/>
                <w:color w:val="000000"/>
                <w:kern w:val="0"/>
                <w:sz w:val="20"/>
                <w:lang w:val="en-US" w:eastAsia="zh-CN" w:bidi="ar"/>
              </w:rPr>
              <w:t>建筑物设计</w:t>
            </w:r>
            <w:r>
              <w:rPr>
                <w:rFonts w:hint="default" w:ascii="Times New Roman" w:hAnsi="Times New Roman" w:eastAsia="仿宋" w:cs="Times New Roman"/>
                <w:color w:val="000000"/>
                <w:kern w:val="0"/>
                <w:sz w:val="20"/>
                <w:lang w:bidi="ar"/>
              </w:rPr>
              <w:t>可持续</w:t>
            </w:r>
            <w:r>
              <w:rPr>
                <w:rFonts w:hint="eastAsia" w:ascii="Times New Roman" w:hAnsi="Times New Roman" w:eastAsia="仿宋" w:cs="Times New Roman"/>
                <w:color w:val="000000"/>
                <w:kern w:val="0"/>
                <w:sz w:val="20"/>
                <w:lang w:val="en-US" w:eastAsia="zh-CN" w:bidi="ar"/>
              </w:rPr>
              <w:t>使用</w:t>
            </w:r>
            <w:r>
              <w:rPr>
                <w:rFonts w:hint="default" w:ascii="Times New Roman" w:hAnsi="Times New Roman" w:eastAsia="仿宋" w:cs="Times New Roman"/>
                <w:color w:val="000000"/>
                <w:kern w:val="0"/>
                <w:sz w:val="20"/>
                <w:lang w:bidi="ar"/>
              </w:rPr>
              <w:t>年限。</w:t>
            </w:r>
          </w:p>
        </w:tc>
        <w:tc>
          <w:tcPr>
            <w:tcW w:w="295"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5</w:t>
            </w:r>
            <w:r>
              <w:rPr>
                <w:rFonts w:hint="default" w:ascii="Times New Roman" w:hAnsi="Times New Roman" w:eastAsia="仿宋" w:cs="Times New Roman"/>
                <w:color w:val="000000"/>
                <w:kern w:val="0"/>
                <w:sz w:val="20"/>
                <w:lang w:bidi="ar"/>
              </w:rPr>
              <w:t>0年</w:t>
            </w:r>
          </w:p>
        </w:tc>
        <w:tc>
          <w:tcPr>
            <w:tcW w:w="310"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5</w:t>
            </w:r>
            <w:r>
              <w:rPr>
                <w:rFonts w:hint="default" w:ascii="Times New Roman" w:hAnsi="Times New Roman" w:eastAsia="仿宋" w:cs="Times New Roman"/>
                <w:color w:val="000000"/>
                <w:kern w:val="0"/>
                <w:sz w:val="20"/>
                <w:lang w:bidi="ar"/>
              </w:rPr>
              <w:t>0年得满分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否则不得分。</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restar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满意度</w:t>
            </w:r>
          </w:p>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（5分）</w:t>
            </w:r>
          </w:p>
        </w:tc>
        <w:tc>
          <w:tcPr>
            <w:tcW w:w="368"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项目实施单位</w:t>
            </w:r>
            <w:r>
              <w:rPr>
                <w:rFonts w:hint="default" w:ascii="Times New Roman" w:hAnsi="Times New Roman" w:eastAsia="仿宋" w:cs="Times New Roman"/>
                <w:color w:val="000000"/>
                <w:kern w:val="0"/>
                <w:sz w:val="20"/>
                <w:lang w:bidi="ar"/>
              </w:rPr>
              <w:t>满意度</w:t>
            </w:r>
          </w:p>
        </w:tc>
        <w:tc>
          <w:tcPr>
            <w:tcW w:w="156" w:type="pct"/>
            <w:noWrap w:val="0"/>
            <w:vAlign w:val="center"/>
          </w:tcPr>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1</w:t>
            </w:r>
          </w:p>
        </w:tc>
        <w:tc>
          <w:tcPr>
            <w:tcW w:w="709" w:type="pct"/>
            <w:noWrap w:val="0"/>
            <w:vAlign w:val="top"/>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项目实施单位</w:t>
            </w:r>
            <w:r>
              <w:rPr>
                <w:rFonts w:hint="eastAsia" w:ascii="Times New Roman" w:hAnsi="Times New Roman" w:eastAsia="仿宋" w:cs="Times New Roman"/>
                <w:color w:val="000000"/>
                <w:kern w:val="0"/>
                <w:sz w:val="20"/>
                <w:lang w:bidi="ar"/>
              </w:rPr>
              <w:t>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满意度=参与问卷调查满意人数/问卷总人数×100%</w:t>
            </w:r>
          </w:p>
        </w:tc>
        <w:tc>
          <w:tcPr>
            <w:tcW w:w="295"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≥9</w:t>
            </w:r>
            <w:r>
              <w:rPr>
                <w:rFonts w:hint="default" w:ascii="Times New Roman" w:hAnsi="Times New Roman" w:eastAsia="仿宋" w:cs="Times New Roman"/>
                <w:color w:val="000000"/>
                <w:kern w:val="0"/>
                <w:sz w:val="20"/>
                <w:lang w:bidi="ar"/>
              </w:rPr>
              <w:t>0%</w:t>
            </w:r>
          </w:p>
        </w:tc>
        <w:tc>
          <w:tcPr>
            <w:tcW w:w="310"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满意度</w:t>
            </w:r>
            <w:r>
              <w:rPr>
                <w:rFonts w:hint="default" w:ascii="Times New Roman" w:hAnsi="Times New Roman" w:eastAsia="仿宋" w:cs="Times New Roman"/>
                <w:color w:val="000000"/>
                <w:kern w:val="0"/>
                <w:sz w:val="20"/>
                <w:lang w:bidi="ar"/>
              </w:rPr>
              <w:t>≥90%得满分，＜90%，得分=满意度×指标权重</w:t>
            </w:r>
            <w:r>
              <w:rPr>
                <w:rFonts w:hint="eastAsia" w:ascii="Times New Roman" w:hAnsi="Times New Roman" w:eastAsia="仿宋" w:cs="Times New Roman"/>
                <w:color w:val="000000"/>
                <w:kern w:val="0"/>
                <w:sz w:val="20"/>
                <w:lang w:eastAsia="zh-CN" w:bidi="ar"/>
              </w:rPr>
              <w:t>。</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continue"/>
            <w:noWrap w:val="0"/>
            <w:vAlign w:val="center"/>
          </w:tcPr>
          <w:p>
            <w:pPr>
              <w:widowControl/>
              <w:jc w:val="center"/>
              <w:textAlignment w:val="center"/>
              <w:rPr>
                <w:rFonts w:hint="default" w:ascii="Times New Roman" w:hAnsi="Times New Roman" w:eastAsia="仿宋" w:cs="Times New Roman"/>
                <w:color w:val="000000"/>
                <w:kern w:val="0"/>
                <w:sz w:val="20"/>
                <w:lang w:bidi="ar"/>
              </w:rPr>
            </w:pPr>
          </w:p>
        </w:tc>
        <w:tc>
          <w:tcPr>
            <w:tcW w:w="368"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eastAsia" w:ascii="Times New Roman" w:hAnsi="Times New Roman" w:eastAsia="仿宋" w:cs="Times New Roman"/>
                <w:color w:val="000000"/>
                <w:kern w:val="0"/>
                <w:sz w:val="20"/>
                <w:lang w:eastAsia="zh-CN" w:bidi="ar"/>
              </w:rPr>
              <w:t>项目</w:t>
            </w:r>
            <w:r>
              <w:rPr>
                <w:rFonts w:hint="eastAsia" w:ascii="Times New Roman" w:hAnsi="Times New Roman" w:eastAsia="仿宋" w:cs="Times New Roman"/>
                <w:color w:val="000000"/>
                <w:kern w:val="0"/>
                <w:sz w:val="20"/>
                <w:lang w:val="en-US" w:eastAsia="zh-CN" w:bidi="ar"/>
              </w:rPr>
              <w:t>主管部门</w:t>
            </w:r>
            <w:r>
              <w:rPr>
                <w:rFonts w:hint="default" w:ascii="Times New Roman" w:hAnsi="Times New Roman" w:eastAsia="仿宋" w:cs="Times New Roman"/>
                <w:color w:val="000000"/>
                <w:kern w:val="0"/>
                <w:sz w:val="20"/>
                <w:lang w:bidi="ar"/>
              </w:rPr>
              <w:t>满意度</w:t>
            </w:r>
          </w:p>
        </w:tc>
        <w:tc>
          <w:tcPr>
            <w:tcW w:w="156" w:type="pct"/>
            <w:noWrap w:val="0"/>
            <w:vAlign w:val="center"/>
          </w:tcPr>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1</w:t>
            </w:r>
          </w:p>
        </w:tc>
        <w:tc>
          <w:tcPr>
            <w:tcW w:w="709" w:type="pct"/>
            <w:noWrap w:val="0"/>
            <w:vAlign w:val="top"/>
          </w:tcPr>
          <w:p>
            <w:pPr>
              <w:widowControl/>
              <w:jc w:val="left"/>
              <w:textAlignment w:val="center"/>
              <w:rPr>
                <w:rFonts w:hint="eastAsia" w:ascii="Times New Roman" w:hAnsi="Times New Roman" w:eastAsia="仿宋" w:cs="Times New Roman"/>
                <w:color w:val="000000"/>
                <w:kern w:val="0"/>
                <w:sz w:val="20"/>
                <w:lang w:eastAsia="zh-CN" w:bidi="ar"/>
              </w:rPr>
            </w:pPr>
            <w:r>
              <w:rPr>
                <w:rFonts w:hint="eastAsia" w:ascii="Times New Roman" w:hAnsi="Times New Roman" w:eastAsia="仿宋" w:cs="Times New Roman"/>
                <w:color w:val="000000"/>
                <w:kern w:val="0"/>
                <w:sz w:val="20"/>
                <w:lang w:eastAsia="zh-CN" w:bidi="ar"/>
              </w:rPr>
              <w:t>项目</w:t>
            </w:r>
            <w:r>
              <w:rPr>
                <w:rFonts w:hint="eastAsia" w:ascii="Times New Roman" w:hAnsi="Times New Roman" w:eastAsia="仿宋" w:cs="Times New Roman"/>
                <w:color w:val="000000"/>
                <w:kern w:val="0"/>
                <w:sz w:val="20"/>
                <w:lang w:val="en-US" w:eastAsia="zh-CN" w:bidi="ar"/>
              </w:rPr>
              <w:t>主管部门</w:t>
            </w:r>
            <w:r>
              <w:rPr>
                <w:rFonts w:hint="eastAsia" w:ascii="Times New Roman" w:hAnsi="Times New Roman" w:eastAsia="仿宋" w:cs="Times New Roman"/>
                <w:color w:val="000000"/>
                <w:kern w:val="0"/>
                <w:sz w:val="20"/>
                <w:lang w:bidi="ar"/>
              </w:rPr>
              <w:t>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满意度=参与问卷调查满意人数/问卷总人数×100%</w:t>
            </w:r>
          </w:p>
        </w:tc>
        <w:tc>
          <w:tcPr>
            <w:tcW w:w="295"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eastAsia" w:ascii="Times New Roman" w:hAnsi="Times New Roman" w:eastAsia="仿宋" w:cs="Times New Roman"/>
                <w:color w:val="000000"/>
                <w:kern w:val="0"/>
                <w:sz w:val="20"/>
                <w:lang w:val="en-US" w:eastAsia="zh-CN" w:bidi="ar"/>
              </w:rPr>
              <w:t>≥9</w:t>
            </w:r>
            <w:r>
              <w:rPr>
                <w:rFonts w:hint="default" w:ascii="Times New Roman" w:hAnsi="Times New Roman" w:eastAsia="仿宋" w:cs="Times New Roman"/>
                <w:color w:val="000000"/>
                <w:kern w:val="0"/>
                <w:sz w:val="20"/>
                <w:lang w:bidi="ar"/>
              </w:rPr>
              <w:t>0%</w:t>
            </w:r>
          </w:p>
        </w:tc>
        <w:tc>
          <w:tcPr>
            <w:tcW w:w="310"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eastAsia" w:ascii="Times New Roman" w:hAnsi="Times New Roman" w:eastAsia="仿宋" w:cs="Times New Roman"/>
                <w:color w:val="000000"/>
                <w:kern w:val="0"/>
                <w:sz w:val="20"/>
                <w:lang w:val="en-US" w:eastAsia="zh-CN" w:bidi="ar"/>
              </w:rPr>
              <w:t>满意度</w:t>
            </w:r>
            <w:r>
              <w:rPr>
                <w:rFonts w:hint="default" w:ascii="Times New Roman" w:hAnsi="Times New Roman" w:eastAsia="仿宋" w:cs="Times New Roman"/>
                <w:color w:val="000000"/>
                <w:kern w:val="0"/>
                <w:sz w:val="20"/>
                <w:lang w:bidi="ar"/>
              </w:rPr>
              <w:t>≥90%得满分，＜90%，得分=满意度×指标权重</w:t>
            </w:r>
            <w:r>
              <w:rPr>
                <w:rFonts w:hint="eastAsia" w:ascii="Times New Roman" w:hAnsi="Times New Roman" w:eastAsia="仿宋" w:cs="Times New Roman"/>
                <w:color w:val="000000"/>
                <w:kern w:val="0"/>
                <w:sz w:val="20"/>
                <w:lang w:eastAsia="zh-CN" w:bidi="ar"/>
              </w:rPr>
              <w:t>。</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continue"/>
            <w:noWrap w:val="0"/>
            <w:vAlign w:val="center"/>
          </w:tcPr>
          <w:p>
            <w:pPr>
              <w:widowControl/>
              <w:jc w:val="left"/>
              <w:textAlignment w:val="center"/>
              <w:rPr>
                <w:rFonts w:hint="default" w:ascii="Times New Roman" w:hAnsi="Times New Roman" w:eastAsia="仿宋" w:cs="Times New Roman"/>
                <w:color w:val="000000"/>
                <w:kern w:val="0"/>
                <w:sz w:val="20"/>
                <w:lang w:bidi="ar"/>
              </w:rPr>
            </w:pPr>
          </w:p>
        </w:tc>
        <w:tc>
          <w:tcPr>
            <w:tcW w:w="368" w:type="pct"/>
            <w:noWrap w:val="0"/>
            <w:vAlign w:val="center"/>
          </w:tcPr>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伊通镇居民</w:t>
            </w:r>
            <w:r>
              <w:rPr>
                <w:rFonts w:hint="default" w:ascii="Times New Roman" w:hAnsi="Times New Roman" w:eastAsia="仿宋" w:cs="Times New Roman"/>
                <w:color w:val="000000"/>
                <w:kern w:val="0"/>
                <w:sz w:val="20"/>
                <w:lang w:bidi="ar"/>
              </w:rPr>
              <w:t>满意度</w:t>
            </w:r>
          </w:p>
        </w:tc>
        <w:tc>
          <w:tcPr>
            <w:tcW w:w="156"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3</w:t>
            </w:r>
          </w:p>
        </w:tc>
        <w:tc>
          <w:tcPr>
            <w:tcW w:w="709" w:type="pct"/>
            <w:noWrap w:val="0"/>
            <w:vAlign w:val="top"/>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伊通镇居民</w:t>
            </w:r>
            <w:r>
              <w:rPr>
                <w:rFonts w:hint="eastAsia" w:ascii="Times New Roman" w:hAnsi="Times New Roman" w:eastAsia="仿宋" w:cs="Times New Roman"/>
                <w:color w:val="000000"/>
                <w:kern w:val="0"/>
                <w:sz w:val="20"/>
                <w:lang w:bidi="ar"/>
              </w:rPr>
              <w:t>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满意度=参与问卷调查满意人数/问卷总人数×100%</w:t>
            </w:r>
          </w:p>
        </w:tc>
        <w:tc>
          <w:tcPr>
            <w:tcW w:w="295"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eastAsia" w:ascii="Times New Roman" w:hAnsi="Times New Roman" w:eastAsia="仿宋" w:cs="Times New Roman"/>
                <w:color w:val="000000"/>
                <w:kern w:val="0"/>
                <w:sz w:val="20"/>
                <w:lang w:val="en-US" w:eastAsia="zh-CN" w:bidi="ar"/>
              </w:rPr>
              <w:t>≥9</w:t>
            </w:r>
            <w:r>
              <w:rPr>
                <w:rFonts w:hint="default" w:ascii="Times New Roman" w:hAnsi="Times New Roman" w:eastAsia="仿宋" w:cs="Times New Roman"/>
                <w:color w:val="000000"/>
                <w:kern w:val="0"/>
                <w:sz w:val="20"/>
                <w:lang w:bidi="ar"/>
              </w:rPr>
              <w:t>0%</w:t>
            </w:r>
          </w:p>
        </w:tc>
        <w:tc>
          <w:tcPr>
            <w:tcW w:w="310"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计划指标</w:t>
            </w:r>
          </w:p>
        </w:tc>
        <w:tc>
          <w:tcPr>
            <w:tcW w:w="585"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eastAsia" w:ascii="Times New Roman" w:hAnsi="Times New Roman" w:eastAsia="仿宋" w:cs="Times New Roman"/>
                <w:color w:val="000000"/>
                <w:kern w:val="0"/>
                <w:sz w:val="20"/>
                <w:lang w:val="en-US" w:eastAsia="zh-CN" w:bidi="ar"/>
              </w:rPr>
              <w:t>满意度</w:t>
            </w:r>
            <w:r>
              <w:rPr>
                <w:rFonts w:hint="default" w:ascii="Times New Roman" w:hAnsi="Times New Roman" w:eastAsia="仿宋" w:cs="Times New Roman"/>
                <w:color w:val="000000"/>
                <w:kern w:val="0"/>
                <w:sz w:val="20"/>
                <w:lang w:bidi="ar"/>
              </w:rPr>
              <w:t>≥90%得满分，＜90%，得分=满意度×指标权重</w:t>
            </w:r>
            <w:r>
              <w:rPr>
                <w:rFonts w:hint="eastAsia" w:ascii="Times New Roman" w:hAnsi="Times New Roman" w:eastAsia="仿宋" w:cs="Times New Roman"/>
                <w:color w:val="000000"/>
                <w:kern w:val="0"/>
                <w:sz w:val="20"/>
                <w:lang w:eastAsia="zh-CN" w:bidi="ar"/>
              </w:rPr>
              <w:t>。</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调查问卷</w:t>
            </w:r>
          </w:p>
        </w:tc>
      </w:tr>
    </w:tbl>
    <w:p>
      <w:pPr>
        <w:widowControl/>
        <w:jc w:val="left"/>
        <w:textAlignment w:val="center"/>
        <w:rPr>
          <w:rFonts w:hint="default" w:eastAsia="仿宋"/>
          <w:highlight w:val="none"/>
          <w:lang w:val="en-US" w:eastAsia="zh-CN"/>
        </w:rPr>
      </w:pPr>
      <w:r>
        <w:rPr>
          <w:rFonts w:hint="eastAsia" w:ascii="Times New Roman" w:hAnsi="Times New Roman" w:eastAsia="仿宋" w:cs="Times New Roman"/>
          <w:color w:val="000000"/>
          <w:kern w:val="0"/>
          <w:sz w:val="20"/>
          <w:highlight w:val="none"/>
          <w:lang w:val="en-US" w:eastAsia="zh-CN" w:bidi="ar"/>
        </w:rPr>
        <w:t>注：标杆值中</w:t>
      </w:r>
      <w:r>
        <w:rPr>
          <w:rFonts w:hint="default" w:ascii="Times New Roman" w:hAnsi="Times New Roman" w:eastAsia="仿宋" w:cs="Times New Roman"/>
          <w:color w:val="000000"/>
          <w:kern w:val="0"/>
          <w:sz w:val="20"/>
          <w:highlight w:val="none"/>
          <w:lang w:bidi="ar"/>
        </w:rPr>
        <w:t>[0</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1]判断的方式</w:t>
      </w:r>
      <w:r>
        <w:rPr>
          <w:rFonts w:hint="eastAsia" w:ascii="Times New Roman" w:hAnsi="Times New Roman" w:eastAsia="仿宋" w:cs="Times New Roman"/>
          <w:color w:val="000000"/>
          <w:kern w:val="0"/>
          <w:sz w:val="20"/>
          <w:highlight w:val="none"/>
          <w:lang w:eastAsia="zh-CN" w:bidi="ar"/>
        </w:rPr>
        <w:t>意为该项指标仅存在是或否两种可能的指标值。</w:t>
      </w:r>
      <w:r>
        <w:rPr>
          <w:rFonts w:hint="eastAsia" w:ascii="Times New Roman" w:hAnsi="Times New Roman" w:eastAsia="仿宋" w:cs="Times New Roman"/>
          <w:color w:val="000000"/>
          <w:kern w:val="0"/>
          <w:sz w:val="20"/>
          <w:highlight w:val="none"/>
          <w:lang w:val="en-US" w:eastAsia="zh-CN" w:bidi="ar"/>
        </w:rPr>
        <w:t>0为否，即未满足指标公式中某一分项内容；1为是，即满足指标公式中某一分项内容。</w:t>
      </w:r>
    </w:p>
    <w:p>
      <w:pPr>
        <w:pStyle w:val="2"/>
        <w:rPr>
          <w:rFonts w:hint="default"/>
          <w:lang w:val="en-US" w:eastAsia="zh-CN"/>
        </w:rPr>
      </w:pPr>
    </w:p>
    <w:p>
      <w:pPr>
        <w:rPr>
          <w:rFonts w:hint="default"/>
          <w:lang w:val="en-US" w:eastAsia="zh-CN"/>
        </w:rPr>
        <w:sectPr>
          <w:pgSz w:w="16838" w:h="11906" w:orient="landscape"/>
          <w:pgMar w:top="1080" w:right="1440" w:bottom="1080" w:left="1440" w:header="851" w:footer="992" w:gutter="0"/>
          <w:pgNumType w:fmt="decimal"/>
          <w:cols w:space="425" w:num="1"/>
          <w:docGrid w:type="lines" w:linePitch="312" w:charSpace="0"/>
        </w:sectPr>
      </w:pPr>
    </w:p>
    <w:p>
      <w:pPr>
        <w:pStyle w:val="4"/>
        <w:bidi w:val="0"/>
        <w:rPr>
          <w:rFonts w:hint="default"/>
          <w:lang w:val="en-US" w:eastAsia="zh-CN"/>
        </w:rPr>
      </w:pPr>
      <w:bookmarkStart w:id="39" w:name="_Toc1206"/>
      <w:r>
        <w:rPr>
          <w:rFonts w:hint="eastAsia"/>
          <w:lang w:val="en-US" w:eastAsia="zh-CN"/>
        </w:rPr>
        <w:t>（五）绩效评价方法</w:t>
      </w:r>
      <w:bookmarkEnd w:id="39"/>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财政部关于印发〈项目支出绩效评价管理办法〉的通知》（财预〔2020〕10号），财政和部门评价的方法主要包括成本效益分析法、比较法、因素分析法、最低成本法、公众评判法、标杆管理法等。根据评价对象的具体情况，可采用一种或多种方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1.成本效益分析法。通过将财政预算资金的投入与产出、效益进行关联性分析，得出评价结论。这种分析方法主要用于对具有直接经济效益的财政支出项目进行微观效益分析。</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2.比较法。通过对绩效目标与实施效果、历史与当期情况、不同部门和地区同类支出的比较，综合分析绩效目标实现程度。</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——历史比较法：将相同或类似的财政支出在不同时期的支出效果进行比较，分析判断绩效的评价方法。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——横向比较法：通过对相同或类似的财政支出在不同地区或不同部门、单位间的支出效果进行比较，分析判断绩效的评价方法。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——目标比较法：通过对财政支出产生的实际效果与预定目标的比较，分析完成目标或未完成目标的原因，从而评价绩效的方法。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专家评议法。通过邀请相关领域的专家通过实地勘察、查看项目资料，充分了解掌握项目情况后，根据自己的专业判断，进行评议，得出评价结果的方法。对于无法直接用指标计量其效益的支出项目，可以选择有关专家进行评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6.标杆管理法。是指以国内外同行业中较高的绩效水平为标杆进行评判的方法标杆管理法。在评价过程中，参考国家标准、行业标准、历史标准对项目各指标设置目标标杆。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7.其他评价方法。</w:t>
      </w:r>
    </w:p>
    <w:p>
      <w:pPr>
        <w:pStyle w:val="4"/>
        <w:bidi w:val="0"/>
        <w:rPr>
          <w:rFonts w:hint="eastAsia"/>
          <w:lang w:val="en-US" w:eastAsia="zh-CN"/>
        </w:rPr>
      </w:pPr>
      <w:bookmarkStart w:id="40" w:name="_Toc2707"/>
      <w:r>
        <w:rPr>
          <w:rFonts w:hint="eastAsia"/>
          <w:lang w:val="en-US" w:eastAsia="zh-CN"/>
        </w:rPr>
        <w:t>（六）绩效评价标准</w:t>
      </w:r>
      <w:bookmarkEnd w:id="40"/>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绩效评价标准是指衡量绩效目标完成程度的尺度。绩效评价标准通常包括计划标准、行业标准、历史标准等，用于对绩效指标完成情况进行比较。</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1.计划标准。指以预先制定的目标、计划、预算、定额等作为评价的标准。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2.行业标准。指参照国家公布的行业指标数据制定的评价标准。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3.历史标准。指参照历史数据制定的评价标准。为体现绩效改进的原则，在可实现的条件下应当确定相对较高的评价标准。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4.财政和项目主管部门确认或认可的其他标准。</w:t>
      </w:r>
    </w:p>
    <w:p>
      <w:pPr>
        <w:pStyle w:val="4"/>
        <w:bidi w:val="0"/>
        <w:rPr>
          <w:rFonts w:hint="default"/>
          <w:lang w:val="en-US" w:eastAsia="zh-CN"/>
        </w:rPr>
      </w:pPr>
      <w:bookmarkStart w:id="41" w:name="_Toc605"/>
      <w:r>
        <w:rPr>
          <w:rFonts w:hint="eastAsia"/>
          <w:lang w:val="en-US" w:eastAsia="zh-CN"/>
        </w:rPr>
        <w:t>（七）绩效评价依据</w:t>
      </w:r>
      <w:bookmarkEnd w:id="41"/>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项目评价依据主要包括国家、省（市）等绩效相关政策文件，同时参考项目前期及中期全部过程材料。</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1.《中华人民共和国预算法（2018修正）》（中华人民共和国主席令第22号）；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2.《中华人民共和国预算法实施条例（2020修正）》（中华人民共和国国务院令第729号）；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3.《中共中央、国务院关于全面实施预算绩效管理的意见》（中发〔2018〕34号）；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4.《财政部关于推进政府购买服务第三方绩效评价工作的指导意见》（财综〔2018〕10号）；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5.《财政部关于委托第三方机构参与预算绩效管理的指导意见》（财预〔2021〕6号）；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6.《中共吉林省委吉林省人民政府关于全面实施预算绩效管理的实施意见》（吉发〔2019〕10号）；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7.《关于印发&lt;吉林省项目支出绩效评价管理暂行办法&gt;的通知》（吉财绩〔2020〕711号）；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8.《关于印发&lt;吉林省地方政府专项债券项目资金绩效管理办法（试行）&gt;的通知》（吉财债〔2021〕1044号）；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9.伊通满族自治县二次供水改造工程项目的可行性研究报告、项目收益与融资自求平衡方案等其他资料；</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10.项目实施期的相关记录、现场资料等。</w:t>
      </w:r>
    </w:p>
    <w:p>
      <w:pPr>
        <w:pStyle w:val="4"/>
        <w:bidi w:val="0"/>
        <w:rPr>
          <w:rFonts w:hint="eastAsia"/>
          <w:lang w:val="en-US" w:eastAsia="zh-CN"/>
        </w:rPr>
      </w:pPr>
      <w:bookmarkStart w:id="42" w:name="_Toc29779"/>
      <w:r>
        <w:rPr>
          <w:rFonts w:hint="eastAsia"/>
          <w:lang w:val="en-US" w:eastAsia="zh-CN"/>
        </w:rPr>
        <w:t>（八）绩效评价工作过程</w:t>
      </w:r>
      <w:bookmarkEnd w:id="42"/>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本次绩效评价工作主要分为前期准备、评价实施和形成报告三个阶段。具体情况如下：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1.前期准备阶段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（1）成立工作组。在明确委托方要求后，组建工作组，明确工作组内的任务分工。</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2.评价实施阶段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（1）前期准备通知。工作组通过委托方获取项目单位联系方式，与项目单位提前沟通，下发资料清单，由项目单位进行前期资料准备。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3.报告撰写阶段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pPr>
        <w:rPr>
          <w:rFonts w:hint="eastAsia"/>
          <w:lang w:val="en-US" w:eastAsia="zh-CN"/>
        </w:rPr>
      </w:pPr>
    </w:p>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pStyle w:val="3"/>
        <w:bidi w:val="0"/>
        <w:ind w:left="0"/>
        <w:rPr>
          <w:rFonts w:hint="eastAsia" w:ascii="宋体" w:hAnsi="宋体"/>
          <w:lang w:val="en-US" w:eastAsia="zh-CN"/>
        </w:rPr>
      </w:pPr>
      <w:bookmarkStart w:id="43" w:name="_Toc29220"/>
      <w:r>
        <w:rPr>
          <w:rFonts w:hint="eastAsia" w:ascii="宋体" w:hAnsi="宋体"/>
          <w:lang w:val="en-US" w:eastAsia="zh-CN"/>
        </w:rPr>
        <w:t>三、综合评价情况及评论结论</w:t>
      </w:r>
      <w:bookmarkEnd w:id="43"/>
    </w:p>
    <w:p>
      <w:pPr>
        <w:pStyle w:val="4"/>
        <w:numPr>
          <w:ilvl w:val="0"/>
          <w:numId w:val="0"/>
        </w:numPr>
        <w:bidi w:val="0"/>
        <w:ind w:leftChars="200"/>
        <w:rPr>
          <w:rFonts w:hint="eastAsia"/>
          <w:lang w:val="en-US" w:eastAsia="zh-CN"/>
        </w:rPr>
      </w:pPr>
      <w:bookmarkStart w:id="44" w:name="_Toc7813"/>
      <w:r>
        <w:rPr>
          <w:rFonts w:hint="eastAsia"/>
          <w:lang w:val="en-US" w:eastAsia="zh-CN"/>
        </w:rPr>
        <w:t>（一）评分结果</w:t>
      </w:r>
      <w:bookmarkEnd w:id="44"/>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运用由评价组设计的评价指标体系及评分标准，通过数据采集、访谈，对伊通满族自治县二次供水改造工程项目进行客观评价，可考察指标总分为100分，最终得分70.47分，得分率70.47%，评价结果为“中”。</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表3-1可见，该项目的决策类指标权重为10分，得分为8.8分，得分率为88%；管理类指标权重为30分，得分为22.41分，得分率为74.7%；产出类指标权重为40分，得分为20.13分，得分率为50.33%；效益类指标权重为20分，得分为19.13分，得分率为95.65%。</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表3-1伊通满族自治县二次供水改造工程建设项目得分情况表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一级指标</w:t>
            </w:r>
          </w:p>
        </w:tc>
        <w:tc>
          <w:tcPr>
            <w:tcW w:w="1162"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权重</w:t>
            </w:r>
          </w:p>
        </w:tc>
        <w:tc>
          <w:tcPr>
            <w:tcW w:w="1003"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分值</w:t>
            </w:r>
          </w:p>
        </w:tc>
        <w:tc>
          <w:tcPr>
            <w:tcW w:w="1268"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决策</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10</w:t>
            </w:r>
            <w:r>
              <w:rPr>
                <w:rFonts w:hint="eastAsia" w:ascii="Times New Roman" w:hAnsi="Times New Roman" w:eastAsia="仿宋_GB2312" w:cs="Times New Roman"/>
                <w:color w:val="auto"/>
                <w:kern w:val="2"/>
                <w:sz w:val="24"/>
                <w:szCs w:val="24"/>
                <w:highlight w:val="none"/>
                <w:lang w:val="en-US" w:eastAsia="zh-CN" w:bidi="ar-SA"/>
              </w:rPr>
              <w:t>.00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8.80</w:t>
            </w:r>
          </w:p>
        </w:tc>
        <w:tc>
          <w:tcPr>
            <w:tcW w:w="1268"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管理</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30</w:t>
            </w:r>
            <w:r>
              <w:rPr>
                <w:rFonts w:hint="eastAsia" w:ascii="Times New Roman" w:hAnsi="Times New Roman" w:eastAsia="仿宋_GB2312" w:cs="Times New Roman"/>
                <w:color w:val="auto"/>
                <w:kern w:val="2"/>
                <w:sz w:val="24"/>
                <w:szCs w:val="24"/>
                <w:highlight w:val="none"/>
                <w:lang w:val="en-US" w:eastAsia="zh-CN" w:bidi="ar-SA"/>
              </w:rPr>
              <w:t>.00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22.41</w:t>
            </w:r>
          </w:p>
        </w:tc>
        <w:tc>
          <w:tcPr>
            <w:tcW w:w="1268"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74.70%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产出</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40</w:t>
            </w:r>
            <w:r>
              <w:rPr>
                <w:rFonts w:hint="eastAsia" w:ascii="Times New Roman" w:hAnsi="Times New Roman" w:eastAsia="仿宋_GB2312" w:cs="Times New Roman"/>
                <w:color w:val="auto"/>
                <w:kern w:val="2"/>
                <w:sz w:val="24"/>
                <w:szCs w:val="24"/>
                <w:highlight w:val="none"/>
                <w:lang w:val="en-US" w:eastAsia="zh-CN" w:bidi="ar-SA"/>
              </w:rPr>
              <w:t>.00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20.13</w:t>
            </w:r>
          </w:p>
        </w:tc>
        <w:tc>
          <w:tcPr>
            <w:tcW w:w="1268"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效益</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20</w:t>
            </w:r>
            <w:r>
              <w:rPr>
                <w:rFonts w:hint="eastAsia" w:ascii="Times New Roman" w:hAnsi="Times New Roman" w:eastAsia="仿宋_GB2312" w:cs="Times New Roman"/>
                <w:color w:val="auto"/>
                <w:kern w:val="2"/>
                <w:sz w:val="24"/>
                <w:szCs w:val="24"/>
                <w:highlight w:val="none"/>
                <w:lang w:val="en-US" w:eastAsia="zh-CN" w:bidi="ar-SA"/>
              </w:rPr>
              <w:t>.00</w:t>
            </w:r>
          </w:p>
        </w:tc>
        <w:tc>
          <w:tcPr>
            <w:tcW w:w="1003"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19.13</w:t>
            </w:r>
          </w:p>
        </w:tc>
        <w:tc>
          <w:tcPr>
            <w:tcW w:w="1268"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95.65</w:t>
            </w: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合计</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100.00</w:t>
            </w:r>
          </w:p>
        </w:tc>
        <w:tc>
          <w:tcPr>
            <w:tcW w:w="100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70.47</w:t>
            </w:r>
          </w:p>
        </w:tc>
        <w:tc>
          <w:tcPr>
            <w:tcW w:w="1268"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70.47%</w:t>
            </w:r>
          </w:p>
        </w:tc>
      </w:tr>
    </w:tbl>
    <w:p>
      <w:pPr>
        <w:pStyle w:val="4"/>
        <w:bidi w:val="0"/>
        <w:rPr>
          <w:rFonts w:hint="default"/>
          <w:highlight w:val="none"/>
          <w:lang w:val="en-US" w:eastAsia="zh-CN"/>
        </w:rPr>
      </w:pPr>
      <w:bookmarkStart w:id="45" w:name="_Toc1297"/>
      <w:r>
        <w:rPr>
          <w:rFonts w:hint="eastAsia"/>
          <w:highlight w:val="none"/>
          <w:lang w:val="en-US" w:eastAsia="zh-CN"/>
        </w:rPr>
        <w:t>（二）主要绩效</w:t>
      </w:r>
      <w:bookmarkEnd w:id="45"/>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伊通满族自治县二次供水改造工程建设项目2021年度主要绩效如下：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此项工程至今已完成71%，2021年度完成总项目工程量的10%，①完成部分二次供水管网的改造工程；②完成8个泵房的部分改造工程；③完成新建5座泵房以及相应配套建设。2021年10月7日完成财政局、县医院泵站工艺工程，人民大路西泵站工艺工程，财政局、县医院泵站的给水和道路拆除及恢复工程。11月30日完成人民大路西泵站给水工程及道路拆除恢复工程、电气工程、仪表工程，县医院及财政局泵站电气和仪表工程。工程进场材料、仪器合格，综合资金到位率为73.66%，到位资金执行率为99.98%，项目综合满意度为90%。</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pPr>
        <w:pStyle w:val="3"/>
        <w:bidi w:val="0"/>
        <w:rPr>
          <w:rFonts w:hint="eastAsia"/>
          <w:lang w:val="en-US" w:eastAsia="zh-CN"/>
        </w:rPr>
      </w:pPr>
      <w:bookmarkStart w:id="46" w:name="_Toc14031"/>
      <w:r>
        <w:rPr>
          <w:rFonts w:hint="eastAsia"/>
          <w:lang w:val="en-US" w:eastAsia="zh-CN"/>
        </w:rPr>
        <w:t>四、绩效评价指标分析</w:t>
      </w:r>
      <w:bookmarkEnd w:id="46"/>
    </w:p>
    <w:p>
      <w:pPr>
        <w:pStyle w:val="4"/>
        <w:bidi w:val="0"/>
        <w:rPr>
          <w:rFonts w:hint="eastAsia"/>
          <w:lang w:val="en-US" w:eastAsia="zh-CN"/>
        </w:rPr>
      </w:pPr>
      <w:bookmarkStart w:id="47" w:name="_Toc14369"/>
      <w:r>
        <w:rPr>
          <w:rFonts w:hint="eastAsia"/>
          <w:lang w:val="en-US" w:eastAsia="zh-CN"/>
        </w:rPr>
        <w:t>（一）项目决策情况</w:t>
      </w:r>
      <w:bookmarkEnd w:id="47"/>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项目建设符合《吉林省国民经济和社会发展第十二个五年规划纲要》、</w:t>
      </w:r>
      <w:r>
        <w:rPr>
          <w:rFonts w:hint="eastAsia" w:ascii="Times New Roman" w:hAnsi="Times New Roman" w:eastAsia="仿宋_GB2312" w:cs="Times New Roman"/>
          <w:sz w:val="32"/>
          <w:szCs w:val="32"/>
          <w:lang w:val="en-US" w:eastAsia="zh-CN"/>
        </w:rPr>
        <w:t>《吉林省人民政府办公厅关于开展城市二次供水改造工程建设的实施意见》</w:t>
      </w:r>
      <w:r>
        <w:rPr>
          <w:rFonts w:hint="eastAsia" w:ascii="Times New Roman" w:hAnsi="Times New Roman" w:eastAsia="仿宋_GB2312" w:cs="Times New Roman"/>
          <w:color w:val="auto"/>
          <w:sz w:val="32"/>
          <w:szCs w:val="32"/>
          <w:highlight w:val="none"/>
          <w:lang w:val="en-US" w:eastAsia="zh-CN"/>
        </w:rPr>
        <w:t>政策文件要求及吉林省城市发展规划，项目属于市政和产业园区基础设施领域，建设符合专项债券支持领域和方向。</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前期取得了《关于伊通满族自治县二次供水改造工程建设项目立项的批复》（辽发改审批〔2020〕152号）、《选址意见书》（城规建选字第6号）、《建设用地规划许可证》（地字第32号）、《建设用地批准书》（伊国土建字第30号）、《建筑工程规划许可证》（建字第37号）、《建筑工程施工许可证》（220323201508040102号）、《建筑工程施工图设计文件审查意见书》，后委托吉林省广信工程技术咨询有限公司编制了《伊通满族自治县二次供水改造工程项目环境影响报告表》，2016年3月7日取得了《关于伊通满族自治县二次供水改造工程项目环境影响报告表的批复》（伊环行审（表）字〔2016〕5号）；编制了《伊通满族自治县二次供水改造工程可行性研究报告》，2015年11月16日取得了《关于伊通满族自治县二次供水改造工程可行性研究报告（调整版）予以调整的批复》（伊发改字〔2015〕158号）。</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项目单位批件取得情况见下表。</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表4-1-1 伊通满族自治县二次供水改造工程批件汇总表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shd w:val="clear" w:color="auto" w:fill="D7D7D7" w:themeFill="background1" w:themeFillShade="D8"/>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批件日期</w:t>
            </w:r>
          </w:p>
        </w:tc>
        <w:tc>
          <w:tcPr>
            <w:tcW w:w="3647" w:type="pct"/>
            <w:shd w:val="clear" w:color="auto" w:fill="D7D7D7" w:themeFill="background1" w:themeFillShade="D8"/>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批件名称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2014.2.25</w:t>
            </w:r>
          </w:p>
        </w:tc>
        <w:tc>
          <w:tcPr>
            <w:tcW w:w="3647"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《关于伊通满族自治县二次供水改造工程建设项目立项的批复》（辽发改审批〔2020〕152号）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2014.3.18</w:t>
            </w:r>
          </w:p>
        </w:tc>
        <w:tc>
          <w:tcPr>
            <w:tcW w:w="3647" w:type="pct"/>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《选址意见书》（城规建选字第6号）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2014.6.15</w:t>
            </w:r>
          </w:p>
        </w:tc>
        <w:tc>
          <w:tcPr>
            <w:tcW w:w="3647" w:type="pct"/>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《建设用地规划许可证》（地字第32号）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2014.6.11</w:t>
            </w:r>
          </w:p>
        </w:tc>
        <w:tc>
          <w:tcPr>
            <w:tcW w:w="3647" w:type="pct"/>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《建设用地批准书》（伊国土建字第30号）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2014.6.17</w:t>
            </w:r>
          </w:p>
        </w:tc>
        <w:tc>
          <w:tcPr>
            <w:tcW w:w="3647" w:type="pct"/>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《建筑工程规划许可证》（建字第37号）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2014.11.25</w:t>
            </w:r>
          </w:p>
        </w:tc>
        <w:tc>
          <w:tcPr>
            <w:tcW w:w="3647" w:type="pct"/>
            <w:vAlign w:val="center"/>
          </w:tcPr>
          <w:p>
            <w:pPr>
              <w:keepNext w:val="0"/>
              <w:keepLines w:val="0"/>
              <w:pageBreakBefore w:val="0"/>
              <w:widowControl w:val="0"/>
              <w:kinsoku/>
              <w:wordWrap w:val="0"/>
              <w:overflowPunct/>
              <w:topLinePunct w:val="0"/>
              <w:autoSpaceDE/>
              <w:autoSpaceDN/>
              <w:bidi w:val="0"/>
              <w:adjustRightInd w:val="0"/>
              <w:snapToGrid w:val="0"/>
              <w:spacing w:before="63" w:beforeLines="20" w:after="63" w:afterLines="2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2"/>
                <w:sz w:val="24"/>
                <w:szCs w:val="24"/>
                <w:highlight w:val="none"/>
                <w:lang w:val="en-US" w:eastAsia="zh-CN" w:bidi="ar-SA"/>
              </w:rPr>
              <w:t>《建筑工程施工许可证》（220323201508040102号）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2015.3.10</w:t>
            </w:r>
          </w:p>
        </w:tc>
        <w:tc>
          <w:tcPr>
            <w:tcW w:w="3647" w:type="pct"/>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《建筑工程施工图设计文件审查意见书》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2016.3.7</w:t>
            </w:r>
          </w:p>
        </w:tc>
        <w:tc>
          <w:tcPr>
            <w:tcW w:w="3647" w:type="pct"/>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《关于伊通满族自治县二次供水改造工程项目环境影响报告表的批复》（伊环行审（表）字〔2016〕5号）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2015.11.16</w:t>
            </w:r>
          </w:p>
        </w:tc>
        <w:tc>
          <w:tcPr>
            <w:tcW w:w="3647" w:type="pct"/>
            <w:tcBorders>
              <w:left w:val="single" w:color="auto" w:sz="4" w:space="0"/>
            </w:tcBorders>
            <w:vAlign w:val="center"/>
          </w:tcPr>
          <w:p>
            <w:pPr>
              <w:pStyle w:val="2"/>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《关于伊通满族自治县二次供水改造工程可行性研究报告（调整版）予以调整的批复》（伊发改字〔2015〕158号）</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auto"/>
          <w:sz w:val="32"/>
          <w:szCs w:val="32"/>
          <w:highlight w:val="yellow"/>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申请地方政府专项债券时，严格按照评审要求提供了完整的评审材料。在申请发行2021年专项债券时，伊通满族自治县自来水公司分别委托吉林省毓泽财务咨询有限公司编制项目收益与融资平衡方案、北京市盈科（长春）律师事务所编制法律意见书、中兴财光华会计师事务所（特殊合作伙伴）吉林分所编制财务评价报告。</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项目申请2021年专项债券资金1200.00万元，占总投资7908.78万元的比例为15.17%，未超出专项债券额度占比。平衡方案内容与申请专项债券项目内容相匹配。2021年度平衡方案中项目资金使用计划如下：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表4-1-2 平衡方案项目资金使用计划表</w:t>
      </w:r>
    </w:p>
    <w:p>
      <w:pPr>
        <w:tabs>
          <w:tab w:val="left" w:pos="1507"/>
        </w:tabs>
        <w:adjustRightInd w:val="0"/>
        <w:jc w:val="righ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单位：万元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369"/>
        <w:gridCol w:w="1079"/>
        <w:gridCol w:w="1156"/>
        <w:gridCol w:w="1118"/>
        <w:gridCol w:w="1310"/>
        <w:gridCol w:w="109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79" w:type="pct"/>
            <w:vMerge w:val="restart"/>
            <w:noWrap w:val="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建设内容</w:t>
            </w:r>
          </w:p>
        </w:tc>
        <w:tc>
          <w:tcPr>
            <w:tcW w:w="1809" w:type="pct"/>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项目资本金</w:t>
            </w:r>
          </w:p>
        </w:tc>
        <w:tc>
          <w:tcPr>
            <w:tcW w:w="1770" w:type="pct"/>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专项债券资金</w:t>
            </w:r>
          </w:p>
        </w:tc>
        <w:tc>
          <w:tcPr>
            <w:tcW w:w="640" w:type="pct"/>
            <w:vMerge w:val="restart"/>
            <w:noWrap w:val="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9" w:type="pct"/>
            <w:vMerge w:val="continue"/>
            <w:noWrap w:val="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sz w:val="24"/>
                <w:szCs w:val="24"/>
                <w:vertAlign w:val="baseline"/>
                <w:lang w:eastAsia="zh-CN"/>
              </w:rPr>
            </w:pPr>
          </w:p>
        </w:tc>
        <w:tc>
          <w:tcPr>
            <w:tcW w:w="68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2020年及以前</w:t>
            </w:r>
          </w:p>
        </w:tc>
        <w:tc>
          <w:tcPr>
            <w:tcW w:w="5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2021年</w:t>
            </w:r>
          </w:p>
        </w:tc>
        <w:tc>
          <w:tcPr>
            <w:tcW w:w="580"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2022年</w:t>
            </w:r>
          </w:p>
        </w:tc>
        <w:tc>
          <w:tcPr>
            <w:tcW w:w="56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2020年及以前</w:t>
            </w:r>
          </w:p>
        </w:tc>
        <w:tc>
          <w:tcPr>
            <w:tcW w:w="65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2021年</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2022年</w:t>
            </w:r>
          </w:p>
        </w:tc>
        <w:tc>
          <w:tcPr>
            <w:tcW w:w="640" w:type="pct"/>
            <w:vMerge w:val="continue"/>
            <w:noWrap w:val="0"/>
            <w:vAlign w:val="top"/>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9"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 w:val="24"/>
                <w:szCs w:val="24"/>
                <w:highlight w:val="yellow"/>
                <w:vertAlign w:val="baseline"/>
                <w:lang w:eastAsia="zh-CN"/>
              </w:rPr>
            </w:pPr>
            <w:r>
              <w:rPr>
                <w:rFonts w:hint="eastAsia" w:ascii="仿宋" w:hAnsi="仿宋" w:eastAsia="仿宋" w:cs="仿宋"/>
                <w:i w:val="0"/>
                <w:iCs w:val="0"/>
                <w:color w:val="000000"/>
                <w:kern w:val="0"/>
                <w:sz w:val="24"/>
                <w:szCs w:val="24"/>
                <w:u w:val="none"/>
                <w:lang w:val="en-US" w:eastAsia="zh-CN" w:bidi="ar"/>
              </w:rPr>
              <w:t>建筑工程</w:t>
            </w:r>
          </w:p>
        </w:tc>
        <w:tc>
          <w:tcPr>
            <w:tcW w:w="118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1130.20 </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1.53 </w:t>
            </w:r>
          </w:p>
        </w:tc>
        <w:tc>
          <w:tcPr>
            <w:tcW w:w="96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417.59 </w:t>
            </w:r>
          </w:p>
        </w:tc>
        <w:tc>
          <w:tcPr>
            <w:tcW w:w="9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1549.32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9"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 w:val="24"/>
                <w:szCs w:val="24"/>
                <w:highlight w:val="yellow"/>
                <w:vertAlign w:val="baseline"/>
                <w:lang w:eastAsia="zh-CN"/>
              </w:rPr>
            </w:pPr>
            <w:r>
              <w:rPr>
                <w:rFonts w:hint="eastAsia" w:ascii="仿宋" w:hAnsi="仿宋" w:eastAsia="仿宋" w:cs="仿宋"/>
                <w:i w:val="0"/>
                <w:iCs w:val="0"/>
                <w:color w:val="000000"/>
                <w:kern w:val="0"/>
                <w:sz w:val="24"/>
                <w:szCs w:val="24"/>
                <w:u w:val="none"/>
                <w:lang w:val="en-US" w:eastAsia="zh-CN" w:bidi="ar"/>
              </w:rPr>
              <w:t>安装工程</w:t>
            </w:r>
          </w:p>
        </w:tc>
        <w:tc>
          <w:tcPr>
            <w:tcW w:w="118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113.30 </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1000.17 </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1020.91 </w:t>
            </w:r>
          </w:p>
        </w:tc>
        <w:tc>
          <w:tcPr>
            <w:tcW w:w="96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782.41 </w:t>
            </w:r>
          </w:p>
        </w:tc>
        <w:tc>
          <w:tcPr>
            <w:tcW w:w="9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2916.79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9"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 w:val="24"/>
                <w:szCs w:val="24"/>
                <w:highlight w:val="yellow"/>
                <w:vertAlign w:val="baseline"/>
                <w:lang w:eastAsia="zh-CN"/>
              </w:rPr>
            </w:pPr>
            <w:r>
              <w:rPr>
                <w:rFonts w:hint="eastAsia" w:ascii="仿宋" w:hAnsi="仿宋" w:eastAsia="仿宋" w:cs="仿宋"/>
                <w:i w:val="0"/>
                <w:iCs w:val="0"/>
                <w:color w:val="000000"/>
                <w:kern w:val="0"/>
                <w:sz w:val="24"/>
                <w:szCs w:val="24"/>
                <w:u w:val="none"/>
                <w:lang w:val="en-US" w:eastAsia="zh-CN" w:bidi="ar"/>
              </w:rPr>
              <w:t>设备购置</w:t>
            </w:r>
          </w:p>
        </w:tc>
        <w:tc>
          <w:tcPr>
            <w:tcW w:w="118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513.50 </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302.30 </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651.93 </w:t>
            </w:r>
          </w:p>
        </w:tc>
        <w:tc>
          <w:tcPr>
            <w:tcW w:w="96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9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1467.73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9"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工程建设其他费用</w:t>
            </w:r>
          </w:p>
        </w:tc>
        <w:tc>
          <w:tcPr>
            <w:tcW w:w="118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96.60 </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1046.84 </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245.66 </w:t>
            </w:r>
          </w:p>
        </w:tc>
        <w:tc>
          <w:tcPr>
            <w:tcW w:w="96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9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1389.10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9"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基本预备费</w:t>
            </w:r>
          </w:p>
        </w:tc>
        <w:tc>
          <w:tcPr>
            <w:tcW w:w="118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105.40 </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131.08 </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349.36 </w:t>
            </w:r>
          </w:p>
        </w:tc>
        <w:tc>
          <w:tcPr>
            <w:tcW w:w="96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9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585.84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9" w:type="pct"/>
            <w:noWrap w:val="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合计</w:t>
            </w:r>
          </w:p>
        </w:tc>
        <w:tc>
          <w:tcPr>
            <w:tcW w:w="118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1959.00 </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2480.39 </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2269.39 </w:t>
            </w:r>
          </w:p>
        </w:tc>
        <w:tc>
          <w:tcPr>
            <w:tcW w:w="96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0.00 </w:t>
            </w:r>
          </w:p>
        </w:tc>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1200.00 </w:t>
            </w:r>
          </w:p>
        </w:tc>
        <w:tc>
          <w:tcPr>
            <w:tcW w:w="9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0.00 </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7908.78 </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auto"/>
          <w:sz w:val="32"/>
          <w:szCs w:val="32"/>
          <w:highlight w:val="yellow"/>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根据绩效目标申报表，本项目整体绩效目标设置如下：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总目标：完成二次供水设施撤并改造之前泵站为21座，撤并改造后期泵站数量为14座，其中改造泵站8座，新建泵站6座，二次供水管网改造长度为25.215</w:t>
      </w:r>
      <w:r>
        <w:rPr>
          <w:rFonts w:hint="eastAsia" w:ascii="Times New Roman" w:hAnsi="Times New Roman" w:eastAsia="仿宋_GB2312" w:cs="Times New Roman"/>
          <w:sz w:val="32"/>
          <w:szCs w:val="32"/>
          <w:lang w:val="en-US" w:eastAsia="zh-CN"/>
        </w:rPr>
        <w:t>km</w:t>
      </w:r>
      <w:r>
        <w:rPr>
          <w:rFonts w:hint="eastAsia" w:ascii="Times New Roman" w:hAnsi="Times New Roman" w:eastAsia="仿宋_GB2312" w:cs="Times New Roman"/>
          <w:color w:val="auto"/>
          <w:sz w:val="32"/>
          <w:szCs w:val="32"/>
          <w:highlight w:val="none"/>
          <w:lang w:val="en-US" w:eastAsia="zh-CN"/>
        </w:rPr>
        <w:t>；改造的楼内管网长度约250</w:t>
      </w:r>
      <w:r>
        <w:rPr>
          <w:rFonts w:hint="eastAsia" w:ascii="Times New Roman" w:hAnsi="Times New Roman" w:eastAsia="仿宋_GB2312" w:cs="Times New Roman"/>
          <w:sz w:val="32"/>
          <w:szCs w:val="32"/>
          <w:lang w:val="en-US" w:eastAsia="zh-CN"/>
        </w:rPr>
        <w:t>km</w:t>
      </w:r>
      <w:r>
        <w:rPr>
          <w:rFonts w:hint="eastAsia" w:ascii="Times New Roman" w:hAnsi="Times New Roman" w:eastAsia="仿宋_GB2312" w:cs="Times New Roman"/>
          <w:color w:val="auto"/>
          <w:sz w:val="32"/>
          <w:szCs w:val="32"/>
          <w:highlight w:val="none"/>
          <w:lang w:val="en-US" w:eastAsia="zh-CN"/>
        </w:rPr>
        <w:t>，水表出户改造9800块；二次供水改造工程泵房对流量、压力、水质余氯、浊度、PH值常规指标检测，配置相关仪表设备，工程检测系统设备14套；中心控制系统1套。</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年度目标：2021年完成土建总工程量的50%。</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绩效目标设置较为完整，</w:t>
      </w:r>
      <w:r>
        <w:rPr>
          <w:rFonts w:hint="default" w:ascii="Times New Roman" w:hAnsi="Times New Roman" w:eastAsia="仿宋_GB2312" w:cs="Times New Roman"/>
          <w:color w:val="auto"/>
          <w:sz w:val="32"/>
          <w:szCs w:val="32"/>
          <w:highlight w:val="none"/>
          <w:lang w:val="en-US" w:eastAsia="zh-CN"/>
        </w:rPr>
        <w:t>预期产出的效益和效果符合当地经济发展需求</w:t>
      </w:r>
      <w:r>
        <w:rPr>
          <w:rFonts w:hint="eastAsia" w:ascii="Times New Roman" w:hAnsi="Times New Roman" w:eastAsia="仿宋_GB2312" w:cs="Times New Roman"/>
          <w:color w:val="auto"/>
          <w:sz w:val="32"/>
          <w:szCs w:val="32"/>
          <w:highlight w:val="none"/>
          <w:lang w:val="en-US" w:eastAsia="zh-CN"/>
        </w:rPr>
        <w:t>，均将总目标及相对应的工作计划内容细化分解为具体的绩效指标；与预算所确定的项目投资额或资金量相匹配。但年度目标工程量描述模糊，与计划任务不匹配。在年度指标值设置了指标评分标准，效益指标值描述较为繁琐，未通过清晰、可衡量的指标值予以体现。</w:t>
      </w:r>
    </w:p>
    <w:p>
      <w:pPr>
        <w:pStyle w:val="4"/>
        <w:bidi w:val="0"/>
        <w:rPr>
          <w:rFonts w:hint="eastAsia"/>
          <w:lang w:val="en-US" w:eastAsia="zh-CN"/>
        </w:rPr>
      </w:pPr>
      <w:bookmarkStart w:id="48" w:name="_Toc23675"/>
      <w:r>
        <w:rPr>
          <w:rFonts w:hint="eastAsia"/>
          <w:lang w:val="en-US" w:eastAsia="zh-CN"/>
        </w:rPr>
        <w:t>（二）项目管理情况</w:t>
      </w:r>
      <w:bookmarkEnd w:id="48"/>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2021年6月20日，项目单位根据《中华人民共和国预算法》、《国务院关于加强地方政府性债务管理的意见》（国发〔2014〕43号文件）、《地方政府专项债务预算管理办法》（财预〔2016〕155号文件）等相关规定，结合地方实际情况，为本项目制定了《专项债券资金管理办法》，明确资金使用办法，制定资金支出计划，保障资金支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eastAsiaTheme="minorEastAsia"/>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在业务管理方面，未针对本项目特性制定相关债券项目管理办法，对本项目的实施、项目调整、施工质量、监督检查、风险防控等重点内容没有明确约束，仅依据上级相关制度进行项目监督管理。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项目实施过程中，项目单位委托伊通满族自治县工程建设招标投标管理咨询有限公司对项目设计勘察、监理、施工进行招标；并于2014年7月20日与中标公司（长春威海市政工程设计有限公司）签订《建设工程设计合同》，于2014年9月30日与中标公司（吉林省恒安建设管理有限公司）签订《建设工程监理合同》，于2014年11月5日与中标公司（吉林省乾旭建业集团有限公司）签订建设《工程施工合同》。于2015年7月3日与中标公司（吉林省建信工程咨询有限公司）签订《建设工程监理合同》，于2015年7月9日与中标公司（吉林省乾旭建业集团有限公司）签订《建设工程施工合同》（一标段），于2015年7月10日与中标公司（吉林省乾旭建业集团有限公司）签订《建设工程施工合同》（二标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合同约定的工程承包范围为：①投标工程影响清单内的二次供水设施改造，二次供水管网改造，改造楼内管网，水表出户改造及监测系统建设，新建及改造二次加泵站7座；②楼内管线及水表改造；③泵站、仪表、管线、道路拆除恢复。</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通过提供资料分析，根据《伊通满族自治县二次供水改造工程组织领导和机构职责》（伊住建发〔2015〕77号文件），成立了由组长1名、副组长1名、组员25名组成的二次供水改造工程领导小组，并明确了小组单位各方职责。项目各执行环节均与第三方签订的合同或协议开展相关工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调整相关资料不齐全，项目2016年停工建设，并未提出工期变更申请，于2021年申请债券资金提出项目工期变更申请，工期调整滞后，项目21年正式开工后继续沿用已过期合同，未续签合同；项目合同、招投标、收支凭证记录等相关资料均能够及时归档、分类明确的保存；通过政府采购或自行采购方式确定项目实施方，设备、人员等都具备相应资质要求从事该项工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从本专项债券资金的支出情况看，项目支出均符合相关专项债券资金使用管理制度规定，资金拨付有完整的审批程序和手续；评价组核实凭证，未发现资金不按规定使用的情况。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项目实施过程中各项合同及资金拨付情况见下表：</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表4-2 伊通满族自治县二次供水改造工程实施情况资料表</w:t>
      </w:r>
    </w:p>
    <w:p>
      <w:pPr>
        <w:jc w:val="right"/>
        <w:rPr>
          <w:rFonts w:hint="default"/>
          <w:b w:val="0"/>
          <w:bCs w:val="0"/>
          <w:sz w:val="24"/>
          <w:szCs w:val="24"/>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3"/>
        <w:gridCol w:w="1496"/>
        <w:gridCol w:w="1194"/>
        <w:gridCol w:w="1492"/>
        <w:gridCol w:w="718"/>
        <w:gridCol w:w="1028"/>
        <w:gridCol w:w="1434"/>
        <w:gridCol w:w="1101"/>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资料名称</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签署日期</w:t>
            </w:r>
          </w:p>
        </w:tc>
        <w:tc>
          <w:tcPr>
            <w:tcW w:w="0" w:type="auto"/>
            <w:tcBorders>
              <w:top w:val="single" w:color="000000" w:sz="8" w:space="0"/>
              <w:left w:val="nil"/>
              <w:bottom w:val="nil"/>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pacing w:val="-20"/>
                <w:kern w:val="0"/>
                <w:sz w:val="24"/>
                <w:szCs w:val="24"/>
                <w:u w:val="none"/>
                <w:lang w:val="en-US" w:eastAsia="zh-CN" w:bidi="ar"/>
              </w:rPr>
            </w:pPr>
            <w:r>
              <w:rPr>
                <w:rFonts w:hint="eastAsia" w:ascii="仿宋" w:hAnsi="仿宋" w:eastAsia="仿宋" w:cs="仿宋"/>
                <w:b/>
                <w:bCs/>
                <w:i w:val="0"/>
                <w:iCs w:val="0"/>
                <w:color w:val="000000"/>
                <w:spacing w:val="-20"/>
                <w:kern w:val="0"/>
                <w:sz w:val="24"/>
                <w:szCs w:val="24"/>
                <w:u w:val="none"/>
                <w:lang w:val="en-US" w:eastAsia="zh-CN" w:bidi="ar"/>
              </w:rPr>
              <w:t>合同金额（万元）</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是否拨付</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工程进度</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资金使用进度</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拨付进度</w:t>
            </w:r>
          </w:p>
        </w:tc>
        <w:tc>
          <w:tcPr>
            <w:tcW w:w="0" w:type="auto"/>
            <w:tcBorders>
              <w:top w:val="single" w:color="000000" w:sz="8" w:space="0"/>
              <w:left w:val="nil"/>
              <w:bottom w:val="single" w:color="000000" w:sz="8" w:space="0"/>
              <w:right w:val="single" w:color="000000" w:sz="8"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nil"/>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14年施工合同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2014年11月5日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2895.3763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748.3698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财政、自筹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nil"/>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14年监理合同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2014年9月30日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72.089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jc w:val="center"/>
        </w:trPr>
        <w:tc>
          <w:tcPr>
            <w:tcW w:w="0" w:type="auto"/>
            <w:tcBorders>
              <w:top w:val="nil"/>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设计、勘察合同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2014年7月20日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财政、自筹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nil"/>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15年施工合同（一标段）</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2015年7月9日</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1190.8229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371.9594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财政、自筹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nil"/>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15年监理合同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2015年7月7日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99.20%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财政、自筹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nil"/>
              <w:left w:val="single" w:color="000000" w:sz="8"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15年施工合同（二标段）</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2015年7月10日</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2370.6173</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1941.8312</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81.91%</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0" w:type="auto"/>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可研合同</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2014年7月1日</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12.00</w:t>
            </w:r>
          </w:p>
        </w:tc>
        <w:tc>
          <w:tcPr>
            <w:tcW w:w="0" w:type="auto"/>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8.00</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67.00%</w:t>
            </w:r>
          </w:p>
        </w:tc>
        <w:tc>
          <w:tcPr>
            <w:tcW w:w="0" w:type="auto"/>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0" w:type="auto"/>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法律意见书合同</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2021年3月15日</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6.00</w:t>
            </w:r>
          </w:p>
        </w:tc>
        <w:tc>
          <w:tcPr>
            <w:tcW w:w="0" w:type="auto"/>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6.00</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100.00%</w:t>
            </w:r>
          </w:p>
        </w:tc>
        <w:tc>
          <w:tcPr>
            <w:tcW w:w="0" w:type="auto"/>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0" w:type="auto"/>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平衡方案</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2021年3月15日</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8.00</w:t>
            </w:r>
          </w:p>
        </w:tc>
        <w:tc>
          <w:tcPr>
            <w:tcW w:w="0" w:type="auto"/>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8.00</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100.00%</w:t>
            </w:r>
          </w:p>
        </w:tc>
        <w:tc>
          <w:tcPr>
            <w:tcW w:w="0" w:type="auto"/>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0" w:type="auto"/>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财评合同</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2021年3月15日</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6.00</w:t>
            </w:r>
          </w:p>
        </w:tc>
        <w:tc>
          <w:tcPr>
            <w:tcW w:w="0" w:type="auto"/>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6.00</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100.00%</w:t>
            </w:r>
          </w:p>
        </w:tc>
        <w:tc>
          <w:tcPr>
            <w:tcW w:w="0" w:type="auto"/>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6702.4155</w:t>
            </w: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92" w:lineRule="auto"/>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61.00%</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3242.1604</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48.37%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项目因财政资金紧张，无能力拨付资金，所以2016年开始停工；故项目前期财政资金并未全部到位，导致项目停滞，2021年申请债券资金开始施工建设；2021年发行债券未在当年全部拨付使用。</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资金截至2021年12月31日专项债券资金到位779.3094万元，财政预算资金到位2043.00万元，自筹资金到位452.9834万元，21年原计划投入专项债券资金1200.00万元、财政预算资金2480.39万元，共计划投入3680.39万元。债券资金到位率为64.94%，财政资金到位率为82.37%，综合资金到位率为73.66%。</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根据表4-2，本项目截至目前共计支出3274.5192万元，实际到位3275.2928万元，资金执行率为99.98%。</w:t>
      </w:r>
    </w:p>
    <w:p>
      <w:pPr>
        <w:pStyle w:val="4"/>
        <w:bidi w:val="0"/>
        <w:rPr>
          <w:rFonts w:hint="eastAsia"/>
          <w:lang w:val="en-US" w:eastAsia="zh-CN"/>
        </w:rPr>
      </w:pPr>
      <w:bookmarkStart w:id="49" w:name="_Toc29353"/>
      <w:r>
        <w:rPr>
          <w:rFonts w:hint="eastAsia"/>
          <w:lang w:val="en-US" w:eastAsia="zh-CN"/>
        </w:rPr>
        <w:t>（三）项目产出情况</w:t>
      </w:r>
      <w:bookmarkEnd w:id="49"/>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1.产出数量</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关于伊通满族自治县二次供水改造工程项目变更建设工期的申请》（伊住建请〔2021〕82号）文件，2021年之前已完成工程总量的61%，剩余39%的工程量，项目原计划2021年度完成剩余工程量的50%，故项目2021年计划完成工程量为50%×39%，即19.5%；依据项目单位提供资料，截止至2021年12月31日项目已完成总工程量的71%，2021年实际完成总工程量的10%。实际完成率为（10%/19.5%）*100%，即51.28%。</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2.产出质量</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截至目前，项目工程未完工，根据项目监理单位提供的《设备调试运行验收单》等材料验收报告，项目建设过程中使用的设备均能达到质量标准。根据项目实际进度，项目竣工验收预期不会出现重要失误或显著延迟，项目验收合格率预期能够达成计划指标，即验收合格率100%，工程完工后不存在可能发生的其他隐患。</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3.产出时效</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项目资金基本能够按照合同约定支付方式及时拨付，具体如下：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①项目施工单位于2022年1月5日向项目单位提出《工程进度拨付申请报告》，申请拨付2014、2015年度部分工程进度款共计176.7601万元，项目单位于2022年2月28日将进度款拨付至施工单位。</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②项目施工单位于2022年5月25日向项目单位提出《工程进度拨付申请报告》，申请拨付2014、2015年度部分工程进度款共计414.6906万元，项目单位未拨付。</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因财政资金紧张，导致项目建设中期缺少建设资金，该项目于2016年至今暂停建设，导致2014、2015年工程款项延迟支付。</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根据2014年《建设项目工程总承包合同》，项目计划开工日期为2014年10月26日，实际开工日期为2014年11月25日，未能按照计划期限开工。</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4.产出成本</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项目原计划2021年投入3680.39万元完成全部产出数量内容，2021年实际支出619.5087万元，产出成本偏离度=∣（619.5087-3680.39）∣/3680.39×100%，即16.83%。</w:t>
      </w:r>
    </w:p>
    <w:p>
      <w:pPr>
        <w:pStyle w:val="4"/>
        <w:bidi w:val="0"/>
        <w:rPr>
          <w:rFonts w:hint="eastAsia"/>
          <w:lang w:val="en-US" w:eastAsia="zh-CN"/>
        </w:rPr>
      </w:pPr>
      <w:bookmarkStart w:id="50" w:name="_Toc29147"/>
      <w:r>
        <w:rPr>
          <w:rFonts w:hint="eastAsia"/>
          <w:lang w:val="en-US" w:eastAsia="zh-CN"/>
        </w:rPr>
        <w:t>（四）项目效益情况</w:t>
      </w:r>
      <w:bookmarkEnd w:id="50"/>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1.社会效益</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（1）城市管网漏损率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由于伊通满族自治县是环状管网，没有区域流量计、流量表，无分区计量，无法估计建设覆盖区域用水量、出水量，故采用伊通县全县城的管网漏损情况进行对比考核。2020年度全年供水量为352万吨，回用水量为294.12万吨，漏损率修正值为7.94%，达到国家漏损标准。停工期间漏损情况详见下表4-3。</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rFonts w:hint="default" w:ascii="Times New Roman" w:hAnsi="Times New Roman" w:eastAsia="仿宋_GB2312" w:cs="Times New Roman"/>
          <w:b w:val="0"/>
          <w:bCs w:val="0"/>
          <w:color w:val="auto"/>
          <w:sz w:val="32"/>
          <w:szCs w:val="32"/>
          <w:highlight w:val="red"/>
          <w:lang w:val="en-US" w:eastAsia="zh-CN"/>
        </w:rPr>
      </w:pPr>
      <w:r>
        <w:rPr>
          <w:rFonts w:hint="eastAsia" w:ascii="Times New Roman" w:hAnsi="Times New Roman" w:eastAsia="仿宋_GB2312" w:cs="Times New Roman"/>
          <w:b/>
          <w:bCs/>
          <w:color w:val="auto"/>
          <w:sz w:val="28"/>
          <w:szCs w:val="28"/>
          <w:highlight w:val="none"/>
          <w:lang w:val="en-US" w:eastAsia="zh-CN"/>
        </w:rPr>
        <w:t>表4-3伊通县管网漏损情况表</w:t>
      </w:r>
    </w:p>
    <w:tbl>
      <w:tblPr>
        <w:tblStyle w:val="15"/>
        <w:tblW w:w="7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
        <w:gridCol w:w="2144"/>
        <w:gridCol w:w="1903"/>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99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年度</w:t>
            </w:r>
          </w:p>
        </w:tc>
        <w:tc>
          <w:tcPr>
            <w:tcW w:w="21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用水量（万吨）</w:t>
            </w:r>
          </w:p>
        </w:tc>
        <w:tc>
          <w:tcPr>
            <w:tcW w:w="190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供水量（万吨）</w:t>
            </w:r>
          </w:p>
        </w:tc>
        <w:tc>
          <w:tcPr>
            <w:tcW w:w="288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漏损率（修正值）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2017年</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256.79</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401.00</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2018年</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243.64</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373.00</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2019年</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288.32</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372.00</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2020年</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294.12</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352.00</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7.94%</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red"/>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（2）居民投诉率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评价组对伊通满族自治县二次供水改造工程项目进行问卷调研，共发放问卷150份，其中有效问卷139份。调研内容主要包括您认为项目施工过程中对您生活、工作情况产生的影响是否需要投诉？（包括噪音、人员、环境等影响）。调研结果显示，项目施工过程中认为对生活、工作情况产生的影响并投诉的占5.33%、无影响不投诉的占比94.67%。</w:t>
      </w:r>
    </w:p>
    <w:tbl>
      <w:tblPr>
        <w:tblStyle w:val="15"/>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29"/>
        <w:gridCol w:w="1151"/>
        <w:gridCol w:w="538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无影响，不投诉</w:t>
            </w:r>
          </w:p>
        </w:tc>
        <w:tc>
          <w:tcPr>
            <w:shd w:val="clear" w:color="auto" w:fill="FFFFFF"/>
            <w:vAlign w:val="center"/>
          </w:tcPr>
          <w:p>
            <w:pPr>
              <w:jc w:val="center"/>
              <w:rPr>
                <w:rFonts w:hint="default" w:eastAsia="宋体"/>
                <w:lang w:val="en-US" w:eastAsia="zh-CN"/>
              </w:rPr>
            </w:pPr>
            <w:r>
              <w:t>1</w:t>
            </w:r>
            <w:r>
              <w:rPr>
                <w:rFonts w:hint="eastAsia" w:eastAsia="宋体"/>
                <w:lang w:val="en-US" w:eastAsia="zh-CN"/>
              </w:rPr>
              <w:t>32</w:t>
            </w:r>
          </w:p>
        </w:tc>
        <w:tc>
          <w:tcPr>
            <w:shd w:val="clear" w:color="auto" w:fill="FFFFFF"/>
            <w:vAlign w:val="center"/>
          </w:tcPr>
          <w:p>
            <w:pPr>
              <w:jc w:val="left"/>
            </w:pPr>
            <w:r>
              <w:drawing>
                <wp:inline distT="0" distB="0" distL="114300" distR="114300">
                  <wp:extent cx="1276350" cy="1143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1276350" cy="114300"/>
                          </a:xfrm>
                          <a:prstGeom prst="rect">
                            <a:avLst/>
                          </a:prstGeom>
                          <a:noFill/>
                          <a:ln>
                            <a:noFill/>
                          </a:ln>
                        </pic:spPr>
                      </pic:pic>
                    </a:graphicData>
                  </a:graphic>
                </wp:inline>
              </w:drawing>
            </w:r>
            <w:r>
              <w:drawing>
                <wp:inline distT="0" distB="0" distL="114300" distR="114300">
                  <wp:extent cx="76200" cy="11430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2"/>
                          <a:stretch>
                            <a:fillRect/>
                          </a:stretch>
                        </pic:blipFill>
                        <pic:spPr>
                          <a:xfrm>
                            <a:off x="0" y="0"/>
                            <a:ext cx="76200" cy="114300"/>
                          </a:xfrm>
                          <a:prstGeom prst="rect">
                            <a:avLst/>
                          </a:prstGeom>
                          <a:noFill/>
                          <a:ln>
                            <a:noFill/>
                          </a:ln>
                        </pic:spPr>
                      </pic:pic>
                    </a:graphicData>
                  </a:graphic>
                </wp:inline>
              </w:drawing>
            </w:r>
            <w:r>
              <w:t>94.</w:t>
            </w:r>
            <w:r>
              <w:rPr>
                <w:rFonts w:hint="eastAsia"/>
                <w:lang w:val="en-US" w:eastAsia="zh-CN"/>
              </w:rPr>
              <w:t>96</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有影响，投诉</w:t>
            </w:r>
          </w:p>
        </w:tc>
        <w:tc>
          <w:tcPr>
            <w:shd w:val="clear" w:color="auto" w:fill="FAFAFA"/>
            <w:vAlign w:val="center"/>
          </w:tcPr>
          <w:p>
            <w:pPr>
              <w:jc w:val="center"/>
              <w:rPr>
                <w:rFonts w:hint="eastAsia" w:eastAsia="宋体"/>
                <w:lang w:eastAsia="zh-CN"/>
              </w:rPr>
            </w:pPr>
            <w:r>
              <w:rPr>
                <w:rFonts w:hint="eastAsia" w:eastAsia="宋体"/>
                <w:lang w:val="en-US" w:eastAsia="zh-CN"/>
              </w:rPr>
              <w:t>7</w:t>
            </w:r>
          </w:p>
        </w:tc>
        <w:tc>
          <w:tcPr>
            <w:shd w:val="clear" w:color="auto" w:fill="FAFAFA"/>
            <w:vAlign w:val="center"/>
          </w:tcPr>
          <w:p>
            <w:pPr>
              <w:jc w:val="left"/>
            </w:pPr>
            <w:r>
              <w:drawing>
                <wp:inline distT="0" distB="0" distL="114300" distR="114300">
                  <wp:extent cx="66675" cy="114300"/>
                  <wp:effectExtent l="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3"/>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4"/>
                          <a:stretch>
                            <a:fillRect/>
                          </a:stretch>
                        </pic:blipFill>
                        <pic:spPr>
                          <a:xfrm>
                            <a:off x="0" y="0"/>
                            <a:ext cx="1285875" cy="114300"/>
                          </a:xfrm>
                          <a:prstGeom prst="rect">
                            <a:avLst/>
                          </a:prstGeom>
                          <a:noFill/>
                          <a:ln>
                            <a:noFill/>
                          </a:ln>
                        </pic:spPr>
                      </pic:pic>
                    </a:graphicData>
                  </a:graphic>
                </wp:inline>
              </w:drawing>
            </w:r>
            <w:r>
              <w:t>5.</w:t>
            </w:r>
            <w:r>
              <w:rPr>
                <w:rFonts w:hint="eastAsia"/>
                <w:lang w:val="en-US" w:eastAsia="zh-CN"/>
              </w:rPr>
              <w:t>04</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rPr>
                <w:rFonts w:hint="default" w:eastAsia="宋体"/>
                <w:lang w:val="en-US" w:eastAsia="zh-CN"/>
              </w:rPr>
            </w:pPr>
            <w:r>
              <w:t>1</w:t>
            </w:r>
            <w:r>
              <w:rPr>
                <w:rFonts w:hint="eastAsia" w:eastAsia="宋体"/>
                <w:lang w:val="en-US" w:eastAsia="zh-CN"/>
              </w:rPr>
              <w:t>39</w:t>
            </w:r>
          </w:p>
        </w:tc>
        <w:tc>
          <w:tcPr>
            <w:shd w:val="clear" w:color="auto" w:fill="F5F5F5"/>
            <w:vAlign w:val="center"/>
          </w:tcPr>
          <w:p>
            <w:pPr>
              <w:jc w:val="left"/>
            </w:pP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Style w:val="28"/>
          <w:rFonts w:hint="default"/>
          <w:sz w:val="24"/>
          <w:szCs w:val="24"/>
          <w:lang w:val="en-US" w:eastAsia="zh-CN"/>
        </w:rPr>
      </w:pPr>
      <w:r>
        <w:rPr>
          <w:rStyle w:val="28"/>
          <w:rFonts w:hint="eastAsia"/>
          <w:sz w:val="24"/>
          <w:szCs w:val="24"/>
          <w:lang w:val="en-US" w:eastAsia="zh-CN"/>
        </w:rPr>
        <w:t>图4-1 居民投诉统计图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2.经济效益</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根据《室外给水设计规范》GB50013-2006及《伊通满族自治县城市总体规划》，伊通满族自治县最高日综合生活用水定额取200L/人·d。14个泵站覆盖人口为96000人，最高用水量700.81万吨/年。</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伊通满族自治县人民政府办公室下发的《伊通满族自治县人民政府办公室关于调整伊通满族自治县城区供水价格及实施居民阶梯水价等有关问题的通知》（伊政办发〔2017〕36号）文件，二次供水费0.50元/吨，含二次供水费的居民用水价格第一、二、三级水价分别为4.15元/吨、5.95元/吨、7.80元/吨。二次供水收入单价按二次供水费0.50元/吨测算。</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综上，二次供水年收入为700.81万吨/年*0.50元/吨=350.41万元。项目处于</w:t>
      </w:r>
      <w:r>
        <w:rPr>
          <w:rFonts w:hint="eastAsia" w:ascii="Times New Roman" w:hAnsi="Times New Roman" w:eastAsia="仿宋_GB2312" w:cs="Times New Roman"/>
          <w:b w:val="0"/>
          <w:bCs w:val="0"/>
          <w:color w:val="auto"/>
          <w:sz w:val="32"/>
          <w:szCs w:val="32"/>
          <w:highlight w:val="none"/>
          <w:lang w:val="en-US" w:eastAsia="zh-CN"/>
        </w:rPr>
        <w:t>建设期，需待项目进入运营期后，考量实际收益与计划收益的偏离程度。</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3.可持续影响</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根据项目可行性研究报告，项目供水管网折旧更换期限将超过50年。</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yellow"/>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本项目正处于建设期，需项目进入运营期后方可进行计算，但项目实施所带来的效益是始终存在的，因此本次评价经济效益和可持续影响效益，按上述均不产生负偏离进行考核。</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4.相关对象满意度</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正处于建设期，主要问卷发放群体为项目实施单位、主管部门及伊通镇居民。评价组在上述对象中随机发放了线上调查问卷，共计回收问卷139份，其中伊通镇居民92份、主管单位5份、实施单位42份。满意度问题包括您对我市目前供水状况的满意度、您对二次供水改造工程项目实施进度的满意度、您对二次供水改造工程项目实施范围的满意度、您对项目施工质量的满意度、您对政府实施二次供水改造工程项目的总体满意度。</w:t>
      </w:r>
    </w:p>
    <w:p>
      <w:pPr>
        <w:ind w:firstLine="640" w:firstLineChars="200"/>
        <w:jc w:val="left"/>
        <w:rPr>
          <w:rFonts w:hint="eastAsia" w:ascii="Times New Roman" w:hAnsi="Times New Roman" w:eastAsia="仿宋_GB2312" w:cs="Times New Roman"/>
          <w:b w:val="0"/>
          <w:bCs w:val="0"/>
          <w:color w:val="auto"/>
          <w:sz w:val="32"/>
          <w:szCs w:val="32"/>
          <w:highlight w:val="green"/>
          <w:lang w:val="en-US" w:eastAsia="zh-CN"/>
        </w:rPr>
      </w:pPr>
      <w:r>
        <w:rPr>
          <w:rFonts w:hint="eastAsia" w:ascii="Times New Roman" w:hAnsi="Times New Roman" w:eastAsia="仿宋_GB2312" w:cs="Times New Roman"/>
          <w:b w:val="0"/>
          <w:bCs w:val="0"/>
          <w:color w:val="auto"/>
          <w:sz w:val="32"/>
          <w:szCs w:val="32"/>
          <w:highlight w:val="none"/>
          <w:lang w:val="en-US" w:eastAsia="zh-CN"/>
        </w:rPr>
        <w:t>伊通镇居民对本项目的综合满意度为82.13%，主管单位对本项目的综合满意度为95.20%，实施单位对本项目的综合满意度为92.67%，项目综合满意度为90.00%。</w:t>
      </w:r>
    </w:p>
    <w:p>
      <w:pPr>
        <w:jc w:val="center"/>
        <w:rPr>
          <w:rStyle w:val="28"/>
          <w:rFonts w:hint="eastAsia" w:cs="Times New Roman"/>
          <w:b/>
          <w:kern w:val="2"/>
          <w:sz w:val="24"/>
          <w:szCs w:val="24"/>
          <w:lang w:val="en-US" w:eastAsia="zh-CN" w:bidi="ar-SA"/>
        </w:rPr>
      </w:pPr>
      <w:r>
        <w:drawing>
          <wp:inline distT="0" distB="0" distL="114300" distR="114300">
            <wp:extent cx="4406265" cy="2128520"/>
            <wp:effectExtent l="4445" t="4445" r="8890" b="19685"/>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hint="eastAsia"/>
          <w:lang w:val="en-US" w:eastAsia="zh-CN"/>
        </w:rPr>
      </w:pPr>
      <w:r>
        <w:rPr>
          <w:rStyle w:val="28"/>
          <w:rFonts w:hint="eastAsia" w:cs="Times New Roman"/>
          <w:b/>
          <w:kern w:val="2"/>
          <w:sz w:val="24"/>
          <w:szCs w:val="24"/>
          <w:lang w:val="en-US" w:eastAsia="zh-CN" w:bidi="ar-SA"/>
        </w:rPr>
        <w:t>图4-2-1伊通镇居民满意度柱状图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Style w:val="28"/>
          <w:rFonts w:hint="eastAsia" w:cs="Times New Roman"/>
          <w:b/>
          <w:kern w:val="2"/>
          <w:sz w:val="24"/>
          <w:szCs w:val="24"/>
          <w:lang w:val="en-US" w:eastAsia="zh-CN" w:bidi="ar-SA"/>
        </w:rPr>
      </w:pPr>
      <w:r>
        <w:drawing>
          <wp:inline distT="0" distB="0" distL="114300" distR="114300">
            <wp:extent cx="4572000" cy="2093595"/>
            <wp:effectExtent l="4445" t="4445" r="14605" b="1651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仿宋_GB2312" w:cs="Times New Roman"/>
          <w:b w:val="0"/>
          <w:bCs w:val="0"/>
          <w:color w:val="auto"/>
          <w:sz w:val="32"/>
          <w:szCs w:val="32"/>
          <w:highlight w:val="green"/>
          <w:lang w:val="en-US" w:eastAsia="zh-CN"/>
        </w:rPr>
      </w:pPr>
      <w:r>
        <w:rPr>
          <w:rStyle w:val="28"/>
          <w:rFonts w:hint="eastAsia" w:cs="Times New Roman"/>
          <w:b/>
          <w:kern w:val="2"/>
          <w:sz w:val="24"/>
          <w:szCs w:val="24"/>
          <w:lang w:val="en-US" w:eastAsia="zh-CN" w:bidi="ar-SA"/>
        </w:rPr>
        <w:t>图4-2-2主管单位人员满意度柱状图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imes New Roman" w:hAnsi="Times New Roman" w:eastAsia="仿宋_GB2312" w:cs="Times New Roman"/>
          <w:b w:val="0"/>
          <w:bCs w:val="0"/>
          <w:color w:val="auto"/>
          <w:sz w:val="32"/>
          <w:szCs w:val="32"/>
          <w:highlight w:val="none"/>
          <w:lang w:val="en-US" w:eastAsia="zh-CN"/>
        </w:rPr>
      </w:pPr>
      <w:r>
        <w:drawing>
          <wp:inline distT="0" distB="0" distL="114300" distR="114300">
            <wp:extent cx="4572000" cy="2172335"/>
            <wp:effectExtent l="5080" t="4445" r="13970" b="1397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hint="eastAsia"/>
          <w:lang w:val="en-US" w:eastAsia="zh-CN"/>
        </w:rPr>
      </w:pPr>
      <w:r>
        <w:rPr>
          <w:rStyle w:val="28"/>
          <w:rFonts w:hint="eastAsia" w:cs="Times New Roman"/>
          <w:b/>
          <w:kern w:val="2"/>
          <w:sz w:val="24"/>
          <w:szCs w:val="24"/>
          <w:lang w:val="en-US" w:eastAsia="zh-CN" w:bidi="ar-SA"/>
        </w:rPr>
        <w:t>图4-2-3实施单位人员满意度柱状图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pPr>
        <w:pStyle w:val="3"/>
        <w:numPr>
          <w:ilvl w:val="0"/>
          <w:numId w:val="0"/>
        </w:numPr>
        <w:bidi w:val="0"/>
        <w:ind w:left="210" w:leftChars="0"/>
        <w:rPr>
          <w:rFonts w:hint="eastAsia"/>
          <w:highlight w:val="none"/>
          <w:lang w:val="en-US" w:eastAsia="zh-CN"/>
        </w:rPr>
      </w:pPr>
      <w:bookmarkStart w:id="51" w:name="_Toc3267"/>
      <w:r>
        <w:rPr>
          <w:rFonts w:hint="eastAsia"/>
          <w:highlight w:val="none"/>
          <w:lang w:val="en-US" w:eastAsia="zh-CN"/>
        </w:rPr>
        <w:t>五、存在的问题</w:t>
      </w:r>
      <w:bookmarkEnd w:id="51"/>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（一）决策方面</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1.绩效指标明确性</w:t>
      </w:r>
    </w:p>
    <w:p>
      <w:pPr>
        <w:pStyle w:val="2"/>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项目绩效目标申报表中。数量指标指标值工程量描述模糊，与计划任务不匹配。在年度指标值设置了指标评分标准，效益指标值描述较为繁琐，未通过清晰、可衡量的指标值予以体现。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（二）管理方面</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管理制度健全性</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项目实施单位未针对本项目特性制定相关项目管理办法，对本项目资金的发放节点、项目调整、施工质量、监督检查、风险防控等重点内容没有明确约束，仅依据上级相关制度进行项目监督管理。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2.组织实施有效性</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调整迟滞，项目由于财政资金紧张，无能力支付建设资金，导致2016年停工建设，当时并未提出工期变更申请，于2021年申请债券资金提出项目工期变更申请，工期调整滞后。21年正式施工后继续沿用已过期合同，未续签合同。同时发现大部分资金支出记账凭证没有会计主管、记账人、出纳签字。</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3.资金到位率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项目因财政资金紧张，无能力拨付项目建设资金，所以2016年开始停工；故项目前期财政资金并未全部到位，导致项目停滞，2021年申请债券资金开始施工建设。</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资金使用合规性</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2021年发行债券未在当年全部拨付使用。</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（三）产出方面</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1.产出时效</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①资金拨付及时情况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因财政资金紧张，无能力拨付资金项目建设工程进度款，导致项目建设中期缺少建设资金，未按照合同拨付，该项目于2016年至2021年暂停建设，导致2014、2015年工程款项延迟支付。</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②开工及时率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根据2014年《建设项目工程总承包合同》，项目计划开工日期为2014年10月26日，实际开工日期为2014年11月25日，未能按照计划期限开工。</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产出成本</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Times New Roman" w:hAnsi="Times New Roman" w:eastAsia="仿宋_GB2312" w:cs="Times New Roman"/>
          <w:b w:val="0"/>
          <w:bCs w:val="0"/>
          <w:color w:val="auto"/>
          <w:sz w:val="32"/>
          <w:szCs w:val="32"/>
          <w:highlight w:val="none"/>
          <w:lang w:val="en-US" w:eastAsia="zh-CN"/>
        </w:rPr>
        <w:t>项目原计划2021年投入3680.39万元完成全部产出数量内容，2021年实际支出619.5087万元，产出成本偏离度为16.83%，成本偏离较高。</w:t>
      </w:r>
    </w:p>
    <w:p>
      <w:pPr>
        <w:numPr>
          <w:ilvl w:val="0"/>
          <w:numId w:val="0"/>
        </w:numPr>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yellow"/>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yellow"/>
          <w:lang w:val="en-US" w:eastAsia="zh-CN"/>
        </w:rPr>
        <w:sectPr>
          <w:pgSz w:w="11906" w:h="16838"/>
          <w:pgMar w:top="1440" w:right="1080" w:bottom="1440" w:left="1080" w:header="851" w:footer="992" w:gutter="0"/>
          <w:pgNumType w:fmt="decimal"/>
          <w:cols w:space="425" w:num="1"/>
          <w:docGrid w:type="lines" w:linePitch="312" w:charSpace="0"/>
        </w:sectPr>
      </w:pPr>
    </w:p>
    <w:p>
      <w:pPr>
        <w:pStyle w:val="3"/>
        <w:numPr>
          <w:ilvl w:val="0"/>
          <w:numId w:val="3"/>
        </w:numPr>
        <w:bidi w:val="0"/>
        <w:rPr>
          <w:rFonts w:hint="eastAsia"/>
          <w:lang w:val="en-US" w:eastAsia="zh-CN"/>
        </w:rPr>
      </w:pPr>
      <w:bookmarkStart w:id="52" w:name="_Toc6532"/>
      <w:r>
        <w:rPr>
          <w:rFonts w:hint="eastAsia"/>
          <w:lang w:val="en-US" w:eastAsia="zh-CN"/>
        </w:rPr>
        <w:t>有关建议</w:t>
      </w:r>
      <w:bookmarkEnd w:id="52"/>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决策方面</w:t>
      </w:r>
    </w:p>
    <w:p>
      <w:pPr>
        <w:numPr>
          <w:ilvl w:val="0"/>
          <w:numId w:val="0"/>
        </w:numPr>
        <w:ind w:firstLine="640" w:firstLineChars="200"/>
        <w:rPr>
          <w:rFonts w:hint="default"/>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1.建议项目单位前期选取项目时，应结合实际情况，充分考虑项目的成熟度以及资金情况匹配情况，做好前期的调研与论证工作，确保保质保量的按时完工。</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建议项目单位加强绩效管理，强化绩效目标设定工作的规范性，建议项目单位依据年度工作计划设定项目总目标，根据项目总目标结合施工进度计划的工作项目、工作量、工作明细等对应的资金额设定年度绩效目标。以年度绩效目标为指导，确定项目在投入、管理、产出、效益四个方面的具体的、量化的、相关的、重要性与代表性相结合的绩效指标，指导项目的具体工作内容和时间安排与开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建议项目单位针对成果文件，成立论证小组，对第三方出具的文件进行科学性、合理性、经济性论证。特别是对项目有指导性意义的文件，如可行性研究报告和融资与自求平衡方案中的建设规模、建设内容、总投资、借款金额和借款年限等。</w:t>
      </w:r>
    </w:p>
    <w:p>
      <w:pPr>
        <w:ind w:firstLine="640" w:firstLineChars="200"/>
        <w:rPr>
          <w:rFonts w:hint="default"/>
          <w:lang w:val="en-US" w:eastAsia="zh-CN"/>
        </w:rPr>
      </w:pPr>
      <w:r>
        <w:rPr>
          <w:rFonts w:hint="eastAsia" w:ascii="Times New Roman" w:hAnsi="Times New Roman" w:eastAsia="仿宋_GB2312" w:cs="Times New Roman"/>
          <w:b w:val="0"/>
          <w:bCs w:val="0"/>
          <w:color w:val="auto"/>
          <w:sz w:val="32"/>
          <w:szCs w:val="32"/>
          <w:highlight w:val="none"/>
          <w:lang w:val="en-US" w:eastAsia="zh-CN"/>
        </w:rPr>
        <w:t>4.建议项目单位在填报相关表格及自评相关内容资料的同时，要严格保证相关数据来源的真实性与可靠性，确保得到结论的正确性，并留存所有数据来源及佐证资料。</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（二）管理方面</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建议项目单位根据上级制度要求完善业务管理制度，对相关人员进行强力制约考核，明确相关责任人；对施工单位进行严格要求，要求严格按照管理制度执行，提高项目完成率。明确并细化时间节点、项目管理、监督检查、风险防控等重点内容，项目调整及时申报，对已过期合同进行续签，避免产生合同纠纷，提高资金的使用效益。</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Times New Roman" w:hAnsi="Times New Roman" w:eastAsia="仿宋_GB2312" w:cs="Times New Roman"/>
          <w:b w:val="0"/>
          <w:bCs w:val="0"/>
          <w:color w:val="auto"/>
          <w:sz w:val="32"/>
          <w:szCs w:val="32"/>
          <w:highlight w:val="none"/>
          <w:lang w:val="en-US" w:eastAsia="zh-CN"/>
        </w:rPr>
        <w:t>2.建议项目单位完善项目管理制度和财务管理制度等相关管理制度。加强项目市场风险防控、技术风险防控、融资风险防控等，并针对相应的风险防控制定控制措施。建议项目单位实施考勤制度和会议制度，确保每岗每人，每事每记录。及时解决工作过程中出现的各种问题，及时查漏补缺，严格按照已经制定的相关制度执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建议加强各部门之间的沟通。加强各部门之间协调配合，才能形成互相衔接、互动联动的长效管理运作机制，建立“发现、处置、督办、考核”的工作机制，提升项目管理水平。在项目发生变更时，及时沟通，提升资金的到位率。各职能部门各司其职、密切配合、高效处置。</w:t>
      </w:r>
    </w:p>
    <w:p>
      <w:pPr>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4.建议项目单位聘请专业的第三方法律顾问及咨询公司，针对项目实施期签署的合同以及相关流程进行咨询，确保项目合同合理合法。</w:t>
      </w:r>
    </w:p>
    <w:p>
      <w:pPr>
        <w:ind w:firstLine="640" w:firstLineChars="200"/>
        <w:rPr>
          <w:rFonts w:hint="default"/>
          <w:lang w:val="en-US" w:eastAsia="zh-CN"/>
        </w:rPr>
      </w:pPr>
      <w:r>
        <w:rPr>
          <w:rFonts w:hint="eastAsia" w:ascii="Times New Roman" w:hAnsi="Times New Roman" w:eastAsia="仿宋_GB2312" w:cs="Times New Roman"/>
          <w:b w:val="0"/>
          <w:bCs w:val="0"/>
          <w:color w:val="auto"/>
          <w:sz w:val="32"/>
          <w:szCs w:val="32"/>
          <w:highlight w:val="none"/>
          <w:lang w:val="en-US" w:eastAsia="zh-CN"/>
        </w:rPr>
        <w:t>5.建议项目单位财务管理人员切实做到职责分明，财务主管、出纳、经办人签字应及时，审核应及时。按照有关财务会计制度规定，以及实际发生的经济业务事项为依据，做好各项日常会计核算工作，杜绝弄虚作假和违规拨付款项，确保财务会计信息的合法、真实、准确、及时、完整。</w:t>
      </w:r>
    </w:p>
    <w:p>
      <w:pPr>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本项目为债券项目，在债券发行期内编制的平衡方案编制应结合项目实际情况及最新批件开展编制工作，合理安排债券发债年限，准确测算相关收入及支出，深入调研，留存好调研过程资料，确保编制的平衡方案符合项目的实际发债情况，减轻项目单位债券偿还压力。</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7.建议项目单位加强第三方服务机构的水平及出具报告的质量，应在合同中明确针对出具报告质量应承担的责任与义务，并在选取第三方机构时采用相关择优原则，以降低发债风险。</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（三）产出方面</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建议项目单位在制定资金使用计划时，多方面综合考虑项目可能出现的进展缓慢情况，避免出现因前期准备不充分，暂缓项目进度，导致项目资金无法按计划投入的情况，在使用资金时按照债券资金计划及债券资金管理制度支出，当年下达债券资金在债券期限内形成计划实物产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2.提高资金执行率，严格安排年初预算计划实施项目，保证每周，每月，每季度，做工作汇报和工作总结，确保工作衔接的顺畅，确保现场资料收集整理的及时性，保项目顺利的开展。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建议项目单位严格按照合同约定方式支付各项合同价款，避免出现因资金拨付不及时而影响项目工期和质量的情况。同时要加强工程进度款的审核与管理，避免晚付、少付、超付的情况出现，确保付款进度与实物产出相匹配。</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（四）其他方面</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Times New Roman" w:hAnsi="Times New Roman" w:eastAsia="仿宋_GB2312" w:cs="Times New Roman"/>
          <w:b w:val="0"/>
          <w:bCs w:val="0"/>
          <w:color w:val="auto"/>
          <w:sz w:val="32"/>
          <w:szCs w:val="32"/>
          <w:highlight w:val="none"/>
          <w:lang w:val="en-US" w:eastAsia="zh-CN"/>
        </w:rPr>
        <w:t>本项目2014年开工，由于资金问题延误工期，预计竣工日期为2022年12月，建议工程施工存续期内，资料的存档工作，避免因人员调动引起的资料缺失。在机构选取上应择优选取服务单位，确保选取机构的质量和价格最优。</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b w:val="0"/>
          <w:bCs w:val="0"/>
          <w:color w:val="auto"/>
          <w:sz w:val="32"/>
          <w:szCs w:val="32"/>
          <w:highlight w:val="none"/>
          <w:lang w:val="en-US" w:eastAsia="zh-CN"/>
        </w:rPr>
      </w:pPr>
    </w:p>
    <w:p>
      <w:pPr>
        <w:pStyle w:val="3"/>
        <w:bidi w:val="0"/>
        <w:rPr>
          <w:rFonts w:hint="eastAsia"/>
          <w:lang w:val="en-US" w:eastAsia="zh-CN"/>
        </w:rPr>
      </w:pPr>
      <w:bookmarkStart w:id="53" w:name="_Toc9734"/>
      <w:r>
        <w:rPr>
          <w:rFonts w:hint="eastAsia"/>
          <w:lang w:val="en-US" w:eastAsia="zh-CN"/>
        </w:rPr>
        <w:t>七、附件：伊通满族自治县二次供水改造工程项目打分表</w:t>
      </w:r>
      <w:bookmarkEnd w:id="53"/>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27"/>
        <w:gridCol w:w="1163"/>
        <w:gridCol w:w="661"/>
        <w:gridCol w:w="5004"/>
        <w:gridCol w:w="2385"/>
        <w:gridCol w:w="75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61"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一级指标</w:t>
            </w:r>
          </w:p>
        </w:tc>
        <w:tc>
          <w:tcPr>
            <w:tcW w:w="609"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二级指标</w:t>
            </w:r>
          </w:p>
        </w:tc>
        <w:tc>
          <w:tcPr>
            <w:tcW w:w="410"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三级指标</w:t>
            </w:r>
          </w:p>
        </w:tc>
        <w:tc>
          <w:tcPr>
            <w:tcW w:w="233"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权重</w:t>
            </w:r>
          </w:p>
        </w:tc>
        <w:tc>
          <w:tcPr>
            <w:tcW w:w="1765"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指标公式</w:t>
            </w:r>
          </w:p>
        </w:tc>
        <w:tc>
          <w:tcPr>
            <w:tcW w:w="840"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评分标准</w:t>
            </w:r>
          </w:p>
        </w:tc>
        <w:tc>
          <w:tcPr>
            <w:tcW w:w="267" w:type="pct"/>
            <w:shd w:val="clear" w:color="auto" w:fill="BEBEBE" w:themeFill="background1" w:themeFillShade="BF"/>
            <w:noWrap w:val="0"/>
            <w:vAlign w:val="center"/>
          </w:tcPr>
          <w:p>
            <w:pPr>
              <w:widowControl/>
              <w:jc w:val="center"/>
              <w:textAlignment w:val="center"/>
              <w:rPr>
                <w:rFonts w:hint="eastAsia" w:ascii="Times New Roman" w:hAnsi="Times New Roman" w:eastAsia="仿宋" w:cs="Times New Roman"/>
                <w:b/>
                <w:bCs/>
                <w:color w:val="000000"/>
                <w:kern w:val="0"/>
                <w:sz w:val="24"/>
                <w:szCs w:val="24"/>
                <w:highlight w:val="none"/>
                <w:lang w:val="en-US" w:eastAsia="zh-CN" w:bidi="ar"/>
              </w:rPr>
            </w:pPr>
            <w:r>
              <w:rPr>
                <w:rFonts w:hint="eastAsia" w:ascii="Times New Roman" w:hAnsi="Times New Roman" w:eastAsia="仿宋" w:cs="Times New Roman"/>
                <w:b/>
                <w:bCs/>
                <w:color w:val="000000"/>
                <w:kern w:val="0"/>
                <w:sz w:val="24"/>
                <w:szCs w:val="24"/>
                <w:highlight w:val="none"/>
                <w:lang w:val="en-US" w:eastAsia="zh-CN" w:bidi="ar"/>
              </w:rPr>
              <w:t>得分</w:t>
            </w:r>
          </w:p>
        </w:tc>
        <w:tc>
          <w:tcPr>
            <w:tcW w:w="613"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kern w:val="0"/>
                <w:sz w:val="24"/>
                <w:szCs w:val="24"/>
                <w:highlight w:val="none"/>
                <w:lang w:val="en-US" w:eastAsia="zh-CN" w:bidi="ar"/>
              </w:rPr>
            </w:pPr>
            <w:r>
              <w:rPr>
                <w:rFonts w:hint="eastAsia" w:ascii="Times New Roman" w:hAnsi="Times New Roman" w:eastAsia="仿宋" w:cs="Times New Roman"/>
                <w:b/>
                <w:bCs/>
                <w:color w:val="000000"/>
                <w:kern w:val="0"/>
                <w:sz w:val="24"/>
                <w:szCs w:val="24"/>
                <w:highlight w:val="none"/>
                <w:lang w:val="en-US" w:eastAsia="zh-CN"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 w:type="pct"/>
            <w:vMerge w:val="restar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决策</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（10分）</w:t>
            </w: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新增地方政府专项债券项目申报的政策依据与程序规范性（2分）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立项依据充分性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①项目是否符合专项债券支持领域和方向情况；</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②项目立项审批是否符合国家法律法规、国民经济发展规划和市县区城市发展规划；</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③项目是否列入政府投资计划和中长期财政规划；</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④是否纳入财政部地方政府债务管理系统项目库和发改委国家重大项目建设库；</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⑤项目资金是否纳入政府性基金预算管理。</w:t>
            </w:r>
          </w:p>
        </w:tc>
        <w:tc>
          <w:tcPr>
            <w:tcW w:w="840"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61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61"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立项程序规范性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①项目是否按照规定的程序申请设立；</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②项目前期准备是否有选址意见书和用地审批文件；</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③是否编制可行性研究报告或项目申请报告；</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④可行性研究报告和项目申请报告核准文件是否批复；</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⑤环境影响评价、安全评价、施工许可证或开工报告等是否有相关批复文件。</w:t>
            </w:r>
          </w:p>
        </w:tc>
        <w:tc>
          <w:tcPr>
            <w:tcW w:w="840"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613"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261"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新增地方政府专项债券绩效目标设定的合理性与指标明确性（4分）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绩效目标合理性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①专项债券项目申报时是否制定绩效目标；</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②绩效目标指标值是否与债券资金投入的项目内容相符；</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③项目预期产出的效益和效果是否符合当地经济发展需求；</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④项目所申请的专项债券资金与项目概算需求的资金量是否相匹配。</w:t>
            </w:r>
          </w:p>
        </w:tc>
        <w:tc>
          <w:tcPr>
            <w:tcW w:w="840"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扣0.5分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2</w:t>
            </w:r>
          </w:p>
        </w:tc>
        <w:tc>
          <w:tcPr>
            <w:tcW w:w="61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61"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绩效指标明确性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①项目绩效目标细化分解的具体指标是否真实反映该项目相关信息；</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②细化分解的具体指标是否通过清晰、可衡量、可量化的指标值体现；</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③绩效目标指标值的设定是否与项目目标任务数或计划数相对应。</w:t>
            </w:r>
          </w:p>
        </w:tc>
        <w:tc>
          <w:tcPr>
            <w:tcW w:w="840"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val="en-US" w:eastAsia="zh-CN" w:bidi="ar"/>
              </w:rPr>
              <w:t>不符合</w:t>
            </w:r>
            <w:r>
              <w:rPr>
                <w:rFonts w:hint="default" w:ascii="Times New Roman" w:hAnsi="Times New Roman" w:eastAsia="仿宋" w:cs="Times New Roman"/>
                <w:color w:val="000000"/>
                <w:kern w:val="0"/>
                <w:sz w:val="24"/>
                <w:szCs w:val="24"/>
                <w:highlight w:val="none"/>
                <w:lang w:bidi="ar"/>
              </w:rPr>
              <w:t>①</w:t>
            </w:r>
            <w:r>
              <w:rPr>
                <w:rFonts w:hint="default" w:ascii="Times New Roman" w:hAnsi="Times New Roman" w:eastAsia="仿宋" w:cs="Times New Roman"/>
                <w:color w:val="000000"/>
                <w:kern w:val="0"/>
                <w:sz w:val="24"/>
                <w:szCs w:val="24"/>
                <w:highlight w:val="none"/>
                <w:lang w:val="en-US" w:eastAsia="zh-CN" w:bidi="ar"/>
              </w:rPr>
              <w:t>或</w:t>
            </w:r>
            <w:r>
              <w:rPr>
                <w:rFonts w:hint="default" w:ascii="Times New Roman" w:hAnsi="Times New Roman" w:eastAsia="仿宋" w:cs="Times New Roman"/>
                <w:color w:val="000000"/>
                <w:kern w:val="0"/>
                <w:sz w:val="24"/>
                <w:szCs w:val="24"/>
                <w:highlight w:val="none"/>
                <w:lang w:bidi="ar"/>
              </w:rPr>
              <w:t>②</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val="en-US" w:eastAsia="zh-CN" w:bidi="ar"/>
              </w:rPr>
              <w:t>每有一处扣0.8分</w:t>
            </w:r>
            <w:r>
              <w:rPr>
                <w:rFonts w:hint="eastAsia" w:ascii="Times New Roman" w:hAnsi="Times New Roman" w:eastAsia="仿宋" w:cs="Times New Roman"/>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不符合</w:t>
            </w:r>
            <w:r>
              <w:rPr>
                <w:rFonts w:hint="default" w:ascii="Times New Roman" w:hAnsi="Times New Roman" w:eastAsia="仿宋" w:cs="Times New Roman"/>
                <w:color w:val="000000"/>
                <w:kern w:val="0"/>
                <w:sz w:val="24"/>
                <w:szCs w:val="24"/>
                <w:highlight w:val="none"/>
                <w:lang w:bidi="ar"/>
              </w:rPr>
              <w:t>③</w:t>
            </w:r>
            <w:r>
              <w:rPr>
                <w:rFonts w:hint="default" w:ascii="Times New Roman" w:hAnsi="Times New Roman" w:eastAsia="仿宋" w:cs="Times New Roman"/>
                <w:color w:val="000000"/>
                <w:kern w:val="0"/>
                <w:sz w:val="24"/>
                <w:szCs w:val="24"/>
                <w:highlight w:val="none"/>
                <w:lang w:val="en-US" w:eastAsia="zh-CN" w:bidi="ar"/>
              </w:rPr>
              <w:t>扣0.4分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0.8</w:t>
            </w:r>
          </w:p>
        </w:tc>
        <w:tc>
          <w:tcPr>
            <w:tcW w:w="613"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val="en-US" w:eastAsia="zh-CN" w:bidi="ar"/>
              </w:rPr>
              <w:t>数量指标值与计划任务不匹配，部分指标值描述模糊</w:t>
            </w:r>
            <w:r>
              <w:rPr>
                <w:rFonts w:hint="eastAsia" w:ascii="Times New Roman" w:hAnsi="Times New Roman" w:eastAsia="仿宋" w:cs="Times New Roman"/>
                <w:color w:val="000000"/>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61"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编制新增地方政府专项债券资金平衡方案科学性和资金分配的合理性（4分）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平衡方案科学性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①项目单位编制的平衡方案是否经过科学论证；</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②编制的内容与申请专项债券项目内容是否相匹配。</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szCs w:val="24"/>
                <w:highlight w:val="none"/>
                <w:lang w:eastAsia="zh-CN" w:bidi="ar"/>
              </w:rPr>
              <w:t>；</w:t>
            </w:r>
          </w:p>
          <w:p>
            <w:pPr>
              <w:widowControl/>
              <w:jc w:val="left"/>
              <w:textAlignment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kern w:val="0"/>
                <w:sz w:val="24"/>
                <w:szCs w:val="24"/>
                <w:highlight w:val="none"/>
                <w:lang w:bidi="ar"/>
              </w:rPr>
              <w:t>④</w:t>
            </w:r>
            <w:r>
              <w:rPr>
                <w:rStyle w:val="24"/>
                <w:rFonts w:hint="default" w:ascii="Times New Roman" w:hAnsi="Times New Roman" w:eastAsia="仿宋" w:cs="Times New Roman"/>
                <w:sz w:val="24"/>
                <w:szCs w:val="24"/>
                <w:highlight w:val="none"/>
                <w:lang w:bidi="ar"/>
              </w:rPr>
              <w:t>申请的专项债券项目资金额度与当年专项债券项目任务是否相匹配</w:t>
            </w:r>
            <w:r>
              <w:rPr>
                <w:rStyle w:val="24"/>
                <w:rFonts w:hint="default" w:ascii="Times New Roman" w:hAnsi="Times New Roman" w:eastAsia="仿宋" w:cs="Times New Roman"/>
                <w:sz w:val="24"/>
                <w:szCs w:val="24"/>
                <w:highlight w:val="none"/>
                <w:lang w:eastAsia="zh-CN" w:bidi="ar"/>
              </w:rPr>
              <w:t>。</w:t>
            </w:r>
          </w:p>
        </w:tc>
        <w:tc>
          <w:tcPr>
            <w:tcW w:w="840"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2</w:t>
            </w:r>
          </w:p>
        </w:tc>
        <w:tc>
          <w:tcPr>
            <w:tcW w:w="61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资金分配合理性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Style w:val="24"/>
                <w:rFonts w:hint="eastAsia" w:ascii="Times New Roman" w:hAnsi="Times New Roman" w:eastAsia="仿宋" w:cs="Times New Roman"/>
                <w:sz w:val="24"/>
                <w:szCs w:val="24"/>
                <w:highlight w:val="none"/>
                <w:lang w:eastAsia="zh-CN" w:bidi="ar"/>
              </w:rPr>
            </w:pPr>
            <w:r>
              <w:rPr>
                <w:rStyle w:val="24"/>
                <w:rFonts w:hint="default" w:ascii="Times New Roman" w:hAnsi="Times New Roman" w:eastAsia="仿宋" w:cs="Times New Roman"/>
                <w:sz w:val="24"/>
                <w:szCs w:val="24"/>
                <w:highlight w:val="none"/>
                <w:lang w:bidi="ar"/>
              </w:rPr>
              <w:t>①专项债券资金分配使用依据是否充分；</w:t>
            </w:r>
          </w:p>
          <w:p>
            <w:pPr>
              <w:widowControl/>
              <w:jc w:val="left"/>
              <w:textAlignment w:val="center"/>
              <w:rPr>
                <w:rFonts w:hint="default" w:ascii="Times New Roman" w:hAnsi="Times New Roman" w:eastAsia="仿宋" w:cs="Times New Roman"/>
                <w:color w:val="000000"/>
                <w:sz w:val="24"/>
                <w:szCs w:val="24"/>
                <w:highlight w:val="none"/>
                <w:lang w:eastAsia="zh-CN"/>
              </w:rPr>
            </w:pPr>
            <w:r>
              <w:rPr>
                <w:rStyle w:val="24"/>
                <w:rFonts w:hint="default" w:ascii="Times New Roman" w:hAnsi="Times New Roman" w:eastAsia="仿宋" w:cs="Times New Roman"/>
                <w:sz w:val="24"/>
                <w:szCs w:val="24"/>
                <w:highlight w:val="none"/>
                <w:lang w:bidi="ar"/>
              </w:rPr>
              <w:t>②预算资金、银行贷款、自有资金、债券资金额度分配是否合理。</w:t>
            </w:r>
          </w:p>
        </w:tc>
        <w:tc>
          <w:tcPr>
            <w:tcW w:w="840"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w:t>
            </w:r>
            <w:r>
              <w:rPr>
                <w:rFonts w:hint="default" w:ascii="Times New Roman" w:hAnsi="Times New Roman" w:eastAsia="仿宋" w:cs="Times New Roman"/>
                <w:color w:val="000000"/>
                <w:kern w:val="0"/>
                <w:sz w:val="24"/>
                <w:szCs w:val="24"/>
                <w:highlight w:val="none"/>
                <w:lang w:val="en-US" w:eastAsia="zh-CN" w:bidi="ar"/>
              </w:rPr>
              <w:t>1</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2</w:t>
            </w:r>
          </w:p>
        </w:tc>
        <w:tc>
          <w:tcPr>
            <w:tcW w:w="613"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管理</w:t>
            </w:r>
          </w:p>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（30分）</w:t>
            </w: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新增地方政府专项债券资金管理制度健全性及组织实施有效性（12分）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管理制度健全性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①项目实施单位财务部门是否制定专项债券资金使用计划和资金管理办法；</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②所制定的财务管理制度及规定是否合法、合规、完整；</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③项目实施单位业务部门是否制定专项债券项目管理办法；</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④所制定的业务管理制度及规定是否合法、合规、完整。</w:t>
            </w:r>
          </w:p>
        </w:tc>
        <w:tc>
          <w:tcPr>
            <w:tcW w:w="840"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扣1.5分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3</w:t>
            </w:r>
          </w:p>
        </w:tc>
        <w:tc>
          <w:tcPr>
            <w:tcW w:w="613" w:type="pct"/>
            <w:shd w:val="clear" w:color="auto" w:fill="FFFFFF"/>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业务管理制度需进一步完善。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组织实施有效性</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①项目实施是否遵守相关法律法规和相关管理规定；</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②项目实施单位是否按照制定的专项债券资金使用计划执行；</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③专项债券收支、还本付息及专项收入纳入政府性基金预算管理情况；</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④项目调整及支出调整手续是否完备；</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⑤项目合同书、验收报告、技术鉴定、资金凭证等资料是否齐全并及时归档；</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⑥项目实施的人员条件、场地设备、信息支撑等是否落实到位。</w:t>
            </w:r>
          </w:p>
        </w:tc>
        <w:tc>
          <w:tcPr>
            <w:tcW w:w="84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4</w:t>
            </w:r>
          </w:p>
        </w:tc>
        <w:tc>
          <w:tcPr>
            <w:tcW w:w="613" w:type="pct"/>
            <w:noWrap w:val="0"/>
            <w:vAlign w:val="center"/>
          </w:tcPr>
          <w:p>
            <w:pPr>
              <w:widowControl/>
              <w:jc w:val="left"/>
              <w:textAlignment w:val="center"/>
              <w:rPr>
                <w:rFonts w:hint="eastAsia" w:eastAsia="仿宋" w:asciiTheme="minorHAnsi" w:hAnsiTheme="minorHAnsi" w:cstheme="minorBidi"/>
                <w:kern w:val="2"/>
                <w:sz w:val="21"/>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工期调整滞后</w:t>
            </w:r>
            <w:r>
              <w:rPr>
                <w:rFonts w:hint="eastAsia" w:ascii="Times New Roman" w:hAnsi="Times New Roman" w:eastAsia="仿宋" w:cs="Times New Roman"/>
                <w:color w:val="000000"/>
                <w:kern w:val="0"/>
                <w:sz w:val="24"/>
                <w:szCs w:val="24"/>
                <w:highlight w:val="none"/>
                <w:lang w:eastAsia="zh-CN" w:bidi="ar"/>
              </w:rPr>
              <w:t>，</w:t>
            </w:r>
            <w:r>
              <w:rPr>
                <w:rFonts w:hint="eastAsia" w:ascii="Times New Roman" w:hAnsi="Times New Roman" w:eastAsia="仿宋" w:cs="Times New Roman"/>
                <w:color w:val="000000"/>
                <w:kern w:val="0"/>
                <w:sz w:val="24"/>
                <w:szCs w:val="24"/>
                <w:highlight w:val="none"/>
                <w:lang w:val="en-US" w:eastAsia="zh-CN" w:bidi="ar"/>
              </w:rPr>
              <w:t>未按照</w:t>
            </w:r>
            <w:r>
              <w:rPr>
                <w:rFonts w:hint="default" w:ascii="Times New Roman" w:hAnsi="Times New Roman" w:eastAsia="仿宋" w:cs="Times New Roman"/>
                <w:color w:val="000000"/>
                <w:kern w:val="0"/>
                <w:sz w:val="24"/>
                <w:szCs w:val="24"/>
                <w:highlight w:val="none"/>
                <w:lang w:bidi="ar"/>
              </w:rPr>
              <w:t>债券资金使用计划执行</w:t>
            </w:r>
            <w:r>
              <w:rPr>
                <w:rFonts w:hint="eastAsia" w:ascii="Times New Roman" w:hAnsi="Times New Roman" w:eastAsia="仿宋" w:cs="Times New Roman"/>
                <w:color w:val="000000"/>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restar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新增地方政府专项债券资金使用情况（18分）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资金使用合规性</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④项目单位在项目建设运营期间</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地方政府是否擅自变动项目资金；</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⑤专项债券资金是否严格按照专项债券资金专户管理办法拨付至项目施工单位</w:t>
            </w:r>
            <w:r>
              <w:rPr>
                <w:rFonts w:hint="eastAsia" w:ascii="Times New Roman" w:hAnsi="Times New Roman" w:eastAsia="仿宋" w:cs="Times New Roman"/>
                <w:color w:val="000000"/>
                <w:kern w:val="0"/>
                <w:sz w:val="24"/>
                <w:szCs w:val="24"/>
                <w:highlight w:val="none"/>
                <w:lang w:eastAsia="zh-CN" w:bidi="ar"/>
              </w:rPr>
              <w:t>；</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⑥专项债券项目存续期是否按要求在网站上进行信息公开。</w:t>
            </w:r>
          </w:p>
        </w:tc>
        <w:tc>
          <w:tcPr>
            <w:tcW w:w="84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5</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2021年发行债券未在当年全部拨付使用。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资金到位率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资金到位率=（实际到位资金/预算安排资金）×100%；</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实际到位资金：一定时期（本年度或项目期）内落实到具体项目的资金；</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预算安排资金：一定时期（本年度或项目期）内预算安排到具体项目的资金；</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资金包含专项债券资金、财政预算资金、银行融资资金、自有资金等。</w:t>
            </w:r>
          </w:p>
        </w:tc>
        <w:tc>
          <w:tcPr>
            <w:tcW w:w="84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得分=各类资金到位率的平均值×指标权重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4.42</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综合资金到位率为73.66%。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资金执行率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资金执行率=（实际支出资金/实际到位资金）×100%；</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实际支出资金：一定时期（本年度或项目期）内实施单位支出的资金；</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实际到位资金：一定时期（本年度或项目期）内落实到具体项目的资金；</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资金包含专项债券资金、财政预算资金、银行融资资金、自有资金等。</w:t>
            </w:r>
          </w:p>
        </w:tc>
        <w:tc>
          <w:tcPr>
            <w:tcW w:w="84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得分=各类资金执行率的平均值×指标权重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5.99</w:t>
            </w:r>
          </w:p>
        </w:tc>
        <w:tc>
          <w:tcPr>
            <w:tcW w:w="613"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eastAsia="zh-CN" w:bidi="ar"/>
              </w:rPr>
              <w:t>资金执行率为99.98%。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61"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（40分）</w:t>
            </w: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产出数量</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（10分）</w:t>
            </w:r>
          </w:p>
        </w:tc>
        <w:tc>
          <w:tcPr>
            <w:tcW w:w="410"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进度计划完成率</w:t>
            </w:r>
          </w:p>
        </w:tc>
        <w:tc>
          <w:tcPr>
            <w:tcW w:w="233"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10</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①是否按照计划目标完成</w:t>
            </w:r>
            <w:r>
              <w:rPr>
                <w:rFonts w:hint="default" w:ascii="Times New Roman" w:hAnsi="Times New Roman" w:eastAsia="仿宋" w:cs="Times New Roman"/>
                <w:color w:val="000000"/>
                <w:kern w:val="0"/>
                <w:sz w:val="24"/>
                <w:szCs w:val="24"/>
                <w:highlight w:val="none"/>
                <w:lang w:val="en-US" w:eastAsia="zh-CN" w:bidi="ar"/>
              </w:rPr>
              <w:t>当年预计</w:t>
            </w:r>
            <w:r>
              <w:rPr>
                <w:rFonts w:hint="default" w:ascii="Times New Roman" w:hAnsi="Times New Roman" w:eastAsia="仿宋" w:cs="Times New Roman"/>
                <w:color w:val="000000"/>
                <w:kern w:val="0"/>
                <w:sz w:val="24"/>
                <w:szCs w:val="24"/>
                <w:highlight w:val="none"/>
                <w:lang w:bidi="ar"/>
              </w:rPr>
              <w:t>项目建设</w:t>
            </w:r>
            <w:r>
              <w:rPr>
                <w:rFonts w:hint="default" w:ascii="Times New Roman" w:hAnsi="Times New Roman" w:eastAsia="仿宋" w:cs="Times New Roman"/>
                <w:color w:val="000000"/>
                <w:kern w:val="0"/>
                <w:sz w:val="24"/>
                <w:szCs w:val="24"/>
                <w:highlight w:val="none"/>
                <w:lang w:val="en-US" w:eastAsia="zh-CN" w:bidi="ar"/>
              </w:rPr>
              <w:t>的工程量</w:t>
            </w:r>
            <w:r>
              <w:rPr>
                <w:rFonts w:hint="default" w:ascii="Times New Roman" w:hAnsi="Times New Roman" w:eastAsia="仿宋" w:cs="Times New Roman"/>
                <w:color w:val="000000"/>
                <w:kern w:val="0"/>
                <w:sz w:val="24"/>
                <w:szCs w:val="24"/>
                <w:highlight w:val="none"/>
                <w:lang w:bidi="ar"/>
              </w:rPr>
              <w:t>；</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②如未完成按照完成比例计算分值。</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进度计划完成率=（实际完成工程量/总计划工程量）×100%</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如涉及多个指标</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则按照进度计划完成率平均值计算。</w:t>
            </w:r>
          </w:p>
        </w:tc>
        <w:tc>
          <w:tcPr>
            <w:tcW w:w="840"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val="en-US" w:eastAsia="zh-CN"/>
              </w:rPr>
              <w:t>100%得满分</w:t>
            </w:r>
            <w:r>
              <w:rPr>
                <w:rFonts w:hint="eastAsia"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val="en-US" w:eastAsia="zh-CN"/>
              </w:rPr>
              <w:t>＜100%</w:t>
            </w:r>
            <w:r>
              <w:rPr>
                <w:rFonts w:hint="eastAsia"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val="en-US" w:eastAsia="zh-CN"/>
              </w:rPr>
              <w:t>得分=进度计划完成率平均值×指标权重。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5.13</w:t>
            </w:r>
          </w:p>
        </w:tc>
        <w:tc>
          <w:tcPr>
            <w:tcW w:w="613" w:type="pct"/>
            <w:noWrap w:val="0"/>
            <w:vAlign w:val="center"/>
          </w:tcPr>
          <w:p>
            <w:pPr>
              <w:widowControl/>
              <w:jc w:val="both"/>
              <w:textAlignment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实际</w:t>
            </w:r>
            <w:bookmarkStart w:id="54" w:name="_GoBack"/>
            <w:bookmarkEnd w:id="54"/>
            <w:r>
              <w:rPr>
                <w:rFonts w:hint="default" w:ascii="Times New Roman" w:hAnsi="Times New Roman" w:eastAsia="仿宋" w:cs="Times New Roman"/>
                <w:color w:val="000000"/>
                <w:sz w:val="24"/>
                <w:szCs w:val="24"/>
                <w:highlight w:val="none"/>
                <w:lang w:val="en-US" w:eastAsia="zh-CN"/>
              </w:rPr>
              <w:t>完成率为51.28%。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产出质量</w:t>
            </w:r>
          </w:p>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（1</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质量检测达标情况</w:t>
            </w:r>
          </w:p>
        </w:tc>
        <w:tc>
          <w:tcPr>
            <w:tcW w:w="233" w:type="pct"/>
            <w:noWrap w:val="0"/>
            <w:vAlign w:val="center"/>
          </w:tcPr>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
              </w:rPr>
              <w:t>15</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①项目建设过程中使用的材料（器材）是否达到质量标准；</w:t>
            </w:r>
          </w:p>
          <w:p>
            <w:pPr>
              <w:widowControl/>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w:t>
            </w:r>
            <w:r>
              <w:rPr>
                <w:rFonts w:hint="default" w:ascii="Times New Roman" w:hAnsi="Times New Roman" w:eastAsia="仿宋" w:cs="Times New Roman"/>
                <w:color w:val="000000"/>
                <w:kern w:val="0"/>
                <w:sz w:val="24"/>
                <w:szCs w:val="24"/>
                <w:highlight w:val="none"/>
                <w:lang w:eastAsia="zh-CN" w:bidi="ar"/>
              </w:rPr>
              <w:t>项目资产质量符合相关的质量要求；</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w:t>
            </w:r>
            <w:r>
              <w:rPr>
                <w:rFonts w:hint="default" w:ascii="Times New Roman" w:hAnsi="Times New Roman" w:eastAsia="仿宋" w:cs="Times New Roman"/>
                <w:color w:val="000000"/>
                <w:kern w:val="0"/>
                <w:sz w:val="24"/>
                <w:szCs w:val="24"/>
                <w:highlight w:val="none"/>
                <w:lang w:val="en-US" w:eastAsia="zh-CN" w:bidi="ar"/>
              </w:rPr>
              <w:t>项目竣工验收预期不会出现重要失误或显著延迟</w:t>
            </w:r>
            <w:r>
              <w:rPr>
                <w:rFonts w:hint="default" w:ascii="Times New Roman" w:hAnsi="Times New Roman" w:eastAsia="仿宋" w:cs="Times New Roman"/>
                <w:color w:val="000000"/>
                <w:kern w:val="0"/>
                <w:sz w:val="24"/>
                <w:szCs w:val="24"/>
                <w:highlight w:val="none"/>
                <w:lang w:bidi="ar"/>
              </w:rPr>
              <w:t>；</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w:t>
            </w:r>
            <w:r>
              <w:rPr>
                <w:rFonts w:hint="default" w:ascii="Times New Roman" w:hAnsi="Times New Roman" w:eastAsia="仿宋" w:cs="Times New Roman"/>
                <w:color w:val="000000"/>
                <w:kern w:val="0"/>
                <w:sz w:val="24"/>
                <w:szCs w:val="24"/>
                <w:highlight w:val="none"/>
                <w:lang w:val="en-US" w:eastAsia="zh-CN" w:bidi="ar"/>
              </w:rPr>
              <w:t>项目实际产出质量与预期或目标一致</w:t>
            </w:r>
            <w:r>
              <w:rPr>
                <w:rFonts w:hint="default" w:ascii="Times New Roman" w:hAnsi="Times New Roman" w:eastAsia="仿宋" w:cs="Times New Roman"/>
                <w:color w:val="000000"/>
                <w:kern w:val="0"/>
                <w:sz w:val="24"/>
                <w:szCs w:val="24"/>
                <w:highlight w:val="none"/>
                <w:lang w:bidi="ar"/>
              </w:rPr>
              <w:t>；</w:t>
            </w:r>
          </w:p>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⑤完工工程后续是否存在可能发生的其他隐患（建设前期的拆迁补偿款到位情况、是否具备运营资质情况等）。</w:t>
            </w:r>
          </w:p>
        </w:tc>
        <w:tc>
          <w:tcPr>
            <w:tcW w:w="840" w:type="pct"/>
            <w:noWrap w:val="0"/>
            <w:vAlign w:val="center"/>
          </w:tcPr>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完全符合以上条件得1</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w:t>
            </w:r>
            <w:r>
              <w:rPr>
                <w:rFonts w:hint="default" w:ascii="Times New Roman" w:hAnsi="Times New Roman" w:eastAsia="仿宋" w:cs="Times New Roman"/>
                <w:color w:val="000000"/>
                <w:kern w:val="0"/>
                <w:sz w:val="24"/>
                <w:szCs w:val="24"/>
                <w:highlight w:val="none"/>
                <w:lang w:val="en-US" w:eastAsia="zh-CN" w:bidi="ar"/>
              </w:rPr>
              <w:t>3</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red"/>
                <w:lang w:val="en-US" w:eastAsia="zh-CN" w:bidi="ar"/>
              </w:rPr>
            </w:pPr>
            <w:r>
              <w:rPr>
                <w:rFonts w:hint="eastAsia" w:ascii="Times New Roman" w:hAnsi="Times New Roman" w:eastAsia="仿宋" w:cs="Times New Roman"/>
                <w:color w:val="000000"/>
                <w:kern w:val="0"/>
                <w:sz w:val="24"/>
                <w:szCs w:val="24"/>
                <w:highlight w:val="none"/>
                <w:lang w:val="en-US" w:eastAsia="zh-CN" w:bidi="ar"/>
              </w:rPr>
              <w:t>15</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red"/>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产出时效</w:t>
            </w:r>
          </w:p>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资金拨付及时情况</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4</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①资金拨付是否严格按照合同约定付款周期执行；</w:t>
            </w:r>
          </w:p>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②是否存在因资金拨付不及时影响项目进度的情况。</w:t>
            </w:r>
          </w:p>
        </w:tc>
        <w:tc>
          <w:tcPr>
            <w:tcW w:w="840"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完全符合以上条件得</w:t>
            </w:r>
            <w:r>
              <w:rPr>
                <w:rFonts w:hint="eastAsia"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①</w:t>
            </w:r>
            <w:r>
              <w:rPr>
                <w:rFonts w:hint="eastAsia" w:ascii="Times New Roman" w:hAnsi="Times New Roman" w:eastAsia="仿宋" w:cs="Times New Roman"/>
                <w:color w:val="000000"/>
                <w:kern w:val="0"/>
                <w:sz w:val="24"/>
                <w:szCs w:val="24"/>
                <w:highlight w:val="none"/>
                <w:lang w:eastAsia="zh-CN" w:bidi="ar"/>
              </w:rPr>
              <w:t>发现</w:t>
            </w:r>
            <w:r>
              <w:rPr>
                <w:rFonts w:hint="default" w:ascii="Times New Roman" w:hAnsi="Times New Roman" w:eastAsia="仿宋" w:cs="Times New Roman"/>
                <w:color w:val="000000"/>
                <w:kern w:val="0"/>
                <w:sz w:val="24"/>
                <w:szCs w:val="24"/>
                <w:highlight w:val="none"/>
                <w:lang w:bidi="ar"/>
              </w:rPr>
              <w:t>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w:t>
            </w:r>
            <w:r>
              <w:rPr>
                <w:rFonts w:hint="eastAsia" w:ascii="Times New Roman" w:hAnsi="Times New Roman" w:eastAsia="仿宋" w:cs="Times New Roman"/>
                <w:color w:val="000000"/>
                <w:kern w:val="0"/>
                <w:sz w:val="24"/>
                <w:szCs w:val="24"/>
                <w:highlight w:val="none"/>
                <w:lang w:val="en-US" w:eastAsia="zh-CN" w:bidi="ar"/>
              </w:rPr>
              <w:t>1</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r>
              <w:rPr>
                <w:rFonts w:hint="eastAsia" w:ascii="Times New Roman" w:hAnsi="Times New Roman" w:eastAsia="仿宋" w:cs="Times New Roman"/>
                <w:color w:val="000000"/>
                <w:kern w:val="0"/>
                <w:sz w:val="24"/>
                <w:szCs w:val="24"/>
                <w:highlight w:val="none"/>
                <w:lang w:eastAsia="zh-CN" w:bidi="ar"/>
              </w:rPr>
              <w:t>存在</w:t>
            </w:r>
            <w:r>
              <w:rPr>
                <w:rFonts w:hint="default" w:ascii="Times New Roman" w:hAnsi="Times New Roman" w:eastAsia="仿宋" w:cs="Times New Roman"/>
                <w:color w:val="000000"/>
                <w:kern w:val="0"/>
                <w:sz w:val="24"/>
                <w:szCs w:val="24"/>
                <w:highlight w:val="none"/>
                <w:lang w:bidi="ar"/>
              </w:rPr>
              <w:t>②</w:t>
            </w:r>
            <w:r>
              <w:rPr>
                <w:rFonts w:hint="eastAsia" w:ascii="Times New Roman" w:hAnsi="Times New Roman" w:eastAsia="仿宋" w:cs="Times New Roman"/>
                <w:color w:val="000000"/>
                <w:kern w:val="0"/>
                <w:sz w:val="24"/>
                <w:szCs w:val="24"/>
                <w:highlight w:val="none"/>
                <w:lang w:eastAsia="zh-CN" w:bidi="ar"/>
              </w:rPr>
              <w:t>，则该项不得分</w:t>
            </w:r>
            <w:r>
              <w:rPr>
                <w:rFonts w:hint="eastAsia" w:ascii="Times New Roman" w:hAnsi="Times New Roman" w:eastAsia="仿宋" w:cs="Times New Roman"/>
                <w:color w:val="000000"/>
                <w:kern w:val="0"/>
                <w:sz w:val="24"/>
                <w:szCs w:val="24"/>
                <w:highlight w:val="none"/>
                <w:lang w:val="en-US" w:eastAsia="zh-CN" w:bidi="ar"/>
              </w:rPr>
              <w:t>。</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0</w:t>
            </w:r>
          </w:p>
        </w:tc>
        <w:tc>
          <w:tcPr>
            <w:tcW w:w="613"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未按合同付款，项目停滞。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开工及时率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是否按照计划期限开工。</w:t>
            </w:r>
          </w:p>
        </w:tc>
        <w:tc>
          <w:tcPr>
            <w:tcW w:w="840"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按照计划开工，得满分，未按计划开工，不得分。</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0</w:t>
            </w:r>
          </w:p>
        </w:tc>
        <w:tc>
          <w:tcPr>
            <w:tcW w:w="613"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项目计划开工日期为2014年10月26日，实际开工日期为2014年11月25日。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auto"/>
                <w:kern w:val="0"/>
                <w:sz w:val="24"/>
                <w:szCs w:val="24"/>
                <w:highlight w:val="none"/>
                <w:lang w:eastAsia="zh-CN" w:bidi="ar"/>
              </w:rPr>
            </w:pPr>
            <w:r>
              <w:rPr>
                <w:rFonts w:hint="default" w:ascii="Times New Roman" w:hAnsi="Times New Roman" w:eastAsia="仿宋" w:cs="Times New Roman"/>
                <w:color w:val="auto"/>
                <w:kern w:val="0"/>
                <w:sz w:val="24"/>
                <w:szCs w:val="24"/>
                <w:highlight w:val="none"/>
                <w:lang w:bidi="ar"/>
              </w:rPr>
              <w:t>产出成本</w:t>
            </w:r>
          </w:p>
          <w:p>
            <w:pPr>
              <w:widowControl/>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（10分）</w:t>
            </w:r>
          </w:p>
        </w:tc>
        <w:tc>
          <w:tcPr>
            <w:tcW w:w="410" w:type="pct"/>
            <w:noWrap w:val="0"/>
            <w:vAlign w:val="center"/>
          </w:tcPr>
          <w:p>
            <w:pPr>
              <w:widowControl/>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产出成本偏离度</w:t>
            </w:r>
          </w:p>
        </w:tc>
        <w:tc>
          <w:tcPr>
            <w:tcW w:w="233" w:type="pct"/>
            <w:noWrap w:val="0"/>
            <w:vAlign w:val="center"/>
          </w:tcPr>
          <w:p>
            <w:pPr>
              <w:widowControl/>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w:t>
            </w:r>
          </w:p>
        </w:tc>
        <w:tc>
          <w:tcPr>
            <w:tcW w:w="1765" w:type="pct"/>
            <w:noWrap w:val="0"/>
            <w:vAlign w:val="center"/>
          </w:tcPr>
          <w:p>
            <w:pPr>
              <w:widowControl/>
              <w:jc w:val="left"/>
              <w:textAlignment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val="en-US" w:eastAsia="zh-CN" w:bidi="ar"/>
              </w:rPr>
              <w:t>产出成本偏离度</w:t>
            </w:r>
            <w:r>
              <w:rPr>
                <w:rFonts w:hint="default" w:ascii="Times New Roman" w:hAnsi="Times New Roman" w:eastAsia="仿宋" w:cs="Times New Roman"/>
                <w:color w:val="auto"/>
                <w:kern w:val="0"/>
                <w:sz w:val="24"/>
                <w:szCs w:val="24"/>
                <w:highlight w:val="none"/>
                <w:lang w:bidi="ar"/>
              </w:rPr>
              <w:t>=[|</w:t>
            </w:r>
            <w:r>
              <w:rPr>
                <w:rFonts w:hint="default" w:ascii="Times New Roman" w:hAnsi="Times New Roman" w:eastAsia="仿宋" w:cs="Times New Roman"/>
                <w:color w:val="auto"/>
                <w:kern w:val="0"/>
                <w:sz w:val="24"/>
                <w:szCs w:val="24"/>
                <w:highlight w:val="none"/>
                <w:lang w:val="en-US" w:eastAsia="zh-CN" w:bidi="ar"/>
              </w:rPr>
              <w:t>（实际成本-计划成本）|/计划成本]</w:t>
            </w:r>
            <w:r>
              <w:rPr>
                <w:rFonts w:hint="default" w:ascii="Times New Roman" w:hAnsi="Times New Roman" w:eastAsia="仿宋" w:cs="Times New Roman"/>
                <w:color w:val="auto"/>
                <w:kern w:val="0"/>
                <w:sz w:val="24"/>
                <w:szCs w:val="24"/>
                <w:highlight w:val="none"/>
                <w:lang w:bidi="ar"/>
              </w:rPr>
              <w:t>×100%。</w:t>
            </w:r>
          </w:p>
          <w:p>
            <w:pPr>
              <w:widowControl/>
              <w:jc w:val="left"/>
              <w:textAlignment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实际成本：项目单位如期、保质、完成阶段性工作实际所耗费的支出。</w:t>
            </w:r>
          </w:p>
          <w:p>
            <w:pPr>
              <w:widowControl/>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计划成本：项目单位为完成阶段性工作目标计划安排的支出。</w:t>
            </w:r>
          </w:p>
        </w:tc>
        <w:tc>
          <w:tcPr>
            <w:tcW w:w="840" w:type="pct"/>
            <w:noWrap w:val="0"/>
            <w:vAlign w:val="center"/>
          </w:tcPr>
          <w:p>
            <w:pPr>
              <w:widowControl/>
              <w:jc w:val="left"/>
              <w:textAlignment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kern w:val="0"/>
                <w:sz w:val="24"/>
                <w:szCs w:val="24"/>
                <w:highlight w:val="none"/>
                <w:lang w:val="en-US" w:eastAsia="zh-CN" w:bidi="ar"/>
              </w:rPr>
              <w:t>产出成本偏离度≤</w:t>
            </w:r>
            <w:r>
              <w:rPr>
                <w:rFonts w:hint="eastAsia" w:ascii="Times New Roman" w:hAnsi="Times New Roman" w:eastAsia="仿宋" w:cs="Times New Roman"/>
                <w:color w:val="auto"/>
                <w:kern w:val="0"/>
                <w:sz w:val="24"/>
                <w:szCs w:val="24"/>
                <w:highlight w:val="none"/>
                <w:lang w:val="en-US" w:eastAsia="zh-CN" w:bidi="ar"/>
              </w:rPr>
              <w:t>5</w:t>
            </w:r>
            <w:r>
              <w:rPr>
                <w:rFonts w:hint="default" w:ascii="Times New Roman" w:hAnsi="Times New Roman" w:eastAsia="仿宋" w:cs="Times New Roman"/>
                <w:color w:val="auto"/>
                <w:kern w:val="0"/>
                <w:sz w:val="24"/>
                <w:szCs w:val="24"/>
                <w:highlight w:val="none"/>
                <w:lang w:bidi="ar"/>
              </w:rPr>
              <w:t>%</w:t>
            </w:r>
            <w:r>
              <w:rPr>
                <w:rFonts w:hint="eastAsia" w:ascii="Times New Roman" w:hAnsi="Times New Roman" w:eastAsia="仿宋" w:cs="Times New Roman"/>
                <w:color w:val="auto"/>
                <w:kern w:val="0"/>
                <w:sz w:val="24"/>
                <w:szCs w:val="24"/>
                <w:highlight w:val="none"/>
                <w:lang w:eastAsia="zh-CN" w:bidi="ar"/>
              </w:rPr>
              <w:t>，</w:t>
            </w:r>
            <w:r>
              <w:rPr>
                <w:rFonts w:hint="default" w:ascii="Times New Roman" w:hAnsi="Times New Roman" w:eastAsia="仿宋" w:cs="Times New Roman"/>
                <w:color w:val="auto"/>
                <w:kern w:val="0"/>
                <w:sz w:val="24"/>
                <w:szCs w:val="24"/>
                <w:highlight w:val="none"/>
                <w:lang w:bidi="ar"/>
              </w:rPr>
              <w:t>该指标得满分</w:t>
            </w:r>
            <w:r>
              <w:rPr>
                <w:rFonts w:hint="eastAsia" w:ascii="Times New Roman" w:hAnsi="Times New Roman" w:eastAsia="仿宋" w:cs="Times New Roman"/>
                <w:color w:val="auto"/>
                <w:kern w:val="0"/>
                <w:sz w:val="24"/>
                <w:szCs w:val="24"/>
                <w:highlight w:val="none"/>
                <w:lang w:eastAsia="zh-CN" w:bidi="ar"/>
              </w:rPr>
              <w:t>，</w:t>
            </w:r>
            <w:r>
              <w:rPr>
                <w:rFonts w:hint="default" w:ascii="Times New Roman" w:hAnsi="Times New Roman" w:eastAsia="仿宋" w:cs="Times New Roman"/>
                <w:color w:val="auto"/>
                <w:kern w:val="0"/>
                <w:sz w:val="24"/>
                <w:szCs w:val="24"/>
                <w:highlight w:val="none"/>
                <w:lang w:val="en-US" w:eastAsia="zh-CN" w:bidi="ar"/>
              </w:rPr>
              <w:t>产出成本偏离度＞</w:t>
            </w:r>
            <w:r>
              <w:rPr>
                <w:rFonts w:hint="eastAsia" w:ascii="Times New Roman" w:hAnsi="Times New Roman" w:eastAsia="仿宋" w:cs="Times New Roman"/>
                <w:color w:val="auto"/>
                <w:kern w:val="0"/>
                <w:sz w:val="24"/>
                <w:szCs w:val="24"/>
                <w:highlight w:val="none"/>
                <w:lang w:val="en-US" w:eastAsia="zh-CN" w:bidi="ar"/>
              </w:rPr>
              <w:t>5</w:t>
            </w:r>
            <w:r>
              <w:rPr>
                <w:rFonts w:hint="default" w:ascii="Times New Roman" w:hAnsi="Times New Roman" w:eastAsia="仿宋" w:cs="Times New Roman"/>
                <w:color w:val="auto"/>
                <w:kern w:val="0"/>
                <w:sz w:val="24"/>
                <w:szCs w:val="24"/>
                <w:highlight w:val="none"/>
                <w:lang w:bidi="ar"/>
              </w:rPr>
              <w:t>%</w:t>
            </w:r>
            <w:r>
              <w:rPr>
                <w:rFonts w:hint="eastAsia" w:ascii="Times New Roman" w:hAnsi="Times New Roman" w:eastAsia="仿宋" w:cs="Times New Roman"/>
                <w:color w:val="auto"/>
                <w:kern w:val="0"/>
                <w:sz w:val="24"/>
                <w:szCs w:val="24"/>
                <w:highlight w:val="none"/>
                <w:lang w:eastAsia="zh-CN" w:bidi="ar"/>
              </w:rPr>
              <w:t>，每超出一个百分点，扣一分，扣完为止。</w:t>
            </w:r>
          </w:p>
        </w:tc>
        <w:tc>
          <w:tcPr>
            <w:tcW w:w="267" w:type="pct"/>
            <w:noWrap w:val="0"/>
            <w:vAlign w:val="center"/>
          </w:tcPr>
          <w:p>
            <w:pPr>
              <w:widowControl/>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eastAsia" w:ascii="Times New Roman" w:hAnsi="Times New Roman" w:eastAsia="仿宋" w:cs="Times New Roman"/>
                <w:color w:val="auto"/>
                <w:kern w:val="0"/>
                <w:sz w:val="24"/>
                <w:szCs w:val="24"/>
                <w:highlight w:val="none"/>
                <w:lang w:val="en-US" w:eastAsia="zh-CN" w:bidi="ar"/>
              </w:rPr>
              <w:t>0</w:t>
            </w:r>
          </w:p>
        </w:tc>
        <w:tc>
          <w:tcPr>
            <w:tcW w:w="613" w:type="pct"/>
            <w:noWrap w:val="0"/>
            <w:vAlign w:val="center"/>
          </w:tcPr>
          <w:p>
            <w:pPr>
              <w:widowControl/>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产出成本偏离度</w:t>
            </w:r>
            <w:r>
              <w:rPr>
                <w:rFonts w:hint="eastAsia" w:ascii="Times New Roman" w:hAnsi="Times New Roman" w:eastAsia="仿宋" w:cs="Times New Roman"/>
                <w:color w:val="auto"/>
                <w:kern w:val="0"/>
                <w:sz w:val="24"/>
                <w:szCs w:val="24"/>
                <w:highlight w:val="none"/>
                <w:lang w:val="en-US" w:eastAsia="zh-CN" w:bidi="ar"/>
              </w:rPr>
              <w:t>为16.83%。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效益</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（20分）</w:t>
            </w:r>
          </w:p>
        </w:tc>
        <w:tc>
          <w:tcPr>
            <w:tcW w:w="609"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社会效益</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城市管网漏损率</w:t>
            </w:r>
          </w:p>
        </w:tc>
        <w:tc>
          <w:tcPr>
            <w:tcW w:w="233" w:type="pct"/>
            <w:noWrap w:val="0"/>
            <w:vAlign w:val="center"/>
          </w:tcPr>
          <w:p>
            <w:pPr>
              <w:widowControl/>
              <w:jc w:val="center"/>
              <w:textAlignment w:val="center"/>
              <w:rPr>
                <w:rFonts w:hint="eastAsia" w:ascii="Times New Roman" w:hAnsi="Times New Roman" w:eastAsia="仿宋" w:cs="Times New Roman"/>
                <w:color w:val="000000"/>
                <w:sz w:val="24"/>
                <w:szCs w:val="24"/>
                <w:highlight w:val="none"/>
                <w:lang w:eastAsia="zh-CN"/>
              </w:rPr>
            </w:pPr>
            <w:r>
              <w:rPr>
                <w:rFonts w:hint="eastAsia" w:ascii="Times New Roman" w:hAnsi="Times New Roman" w:eastAsia="仿宋" w:cs="Times New Roman"/>
                <w:color w:val="000000"/>
                <w:kern w:val="0"/>
                <w:sz w:val="24"/>
                <w:szCs w:val="24"/>
                <w:highlight w:val="none"/>
                <w:lang w:val="en-US" w:eastAsia="zh-CN" w:bidi="ar"/>
              </w:rPr>
              <w:t>3</w:t>
            </w:r>
          </w:p>
        </w:tc>
        <w:tc>
          <w:tcPr>
            <w:tcW w:w="1765" w:type="pct"/>
            <w:noWrap w:val="0"/>
            <w:vAlign w:val="center"/>
          </w:tcPr>
          <w:p>
            <w:pPr>
              <w:jc w:val="left"/>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bidi="ar"/>
              </w:rPr>
              <w:t>漏损率=漏水量/供水量×100%</w:t>
            </w:r>
          </w:p>
        </w:tc>
        <w:tc>
          <w:tcPr>
            <w:tcW w:w="840" w:type="pct"/>
            <w:noWrap w:val="0"/>
            <w:vAlign w:val="center"/>
          </w:tcPr>
          <w:p>
            <w:pPr>
              <w:jc w:val="left"/>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漏损率达到标杆值，得满分，否则不得分。</w:t>
            </w:r>
          </w:p>
        </w:tc>
        <w:tc>
          <w:tcPr>
            <w:tcW w:w="267" w:type="pct"/>
            <w:noWrap w:val="0"/>
            <w:vAlign w:val="center"/>
          </w:tcPr>
          <w:p>
            <w:pPr>
              <w:jc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3</w:t>
            </w:r>
          </w:p>
        </w:tc>
        <w:tc>
          <w:tcPr>
            <w:tcW w:w="613" w:type="pct"/>
            <w:noWrap w:val="0"/>
            <w:vAlign w:val="center"/>
          </w:tcPr>
          <w:p>
            <w:pPr>
              <w:jc w:val="center"/>
              <w:rPr>
                <w:rFonts w:hint="default" w:ascii="Times New Roman" w:hAnsi="Times New Roman" w:eastAsia="仿宋" w:cs="Times New Roman"/>
                <w:color w:val="000000"/>
                <w:kern w:val="0"/>
                <w:sz w:val="24"/>
                <w:szCs w:val="24"/>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居民投诉率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2</w:t>
            </w:r>
          </w:p>
        </w:tc>
        <w:tc>
          <w:tcPr>
            <w:tcW w:w="1765" w:type="pct"/>
            <w:noWrap w:val="0"/>
            <w:vAlign w:val="center"/>
          </w:tcPr>
          <w:p>
            <w:pPr>
              <w:jc w:val="left"/>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投诉率=（投诉人数/调查总人数）×100%</w:t>
            </w:r>
          </w:p>
        </w:tc>
        <w:tc>
          <w:tcPr>
            <w:tcW w:w="840" w:type="pct"/>
            <w:noWrap w:val="0"/>
            <w:vAlign w:val="center"/>
          </w:tcPr>
          <w:p>
            <w:pPr>
              <w:jc w:val="left"/>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投诉率≤标杆值得满分；当2%≤投诉率＜20%，每增长1%扣0.1分，扣完为止；投诉率≥20%不得分。</w:t>
            </w:r>
          </w:p>
        </w:tc>
        <w:tc>
          <w:tcPr>
            <w:tcW w:w="267" w:type="pct"/>
            <w:noWrap w:val="0"/>
            <w:vAlign w:val="center"/>
          </w:tcPr>
          <w:p>
            <w:pPr>
              <w:jc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1.67</w:t>
            </w:r>
          </w:p>
        </w:tc>
        <w:tc>
          <w:tcPr>
            <w:tcW w:w="613" w:type="pct"/>
            <w:noWrap w:val="0"/>
            <w:vAlign w:val="center"/>
          </w:tcPr>
          <w:p>
            <w:pPr>
              <w:jc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投诉率为5.33%。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经济效益</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项目收益情况</w:t>
            </w:r>
          </w:p>
        </w:tc>
        <w:tc>
          <w:tcPr>
            <w:tcW w:w="233"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w:t>
            </w:r>
          </w:p>
        </w:tc>
        <w:tc>
          <w:tcPr>
            <w:tcW w:w="1765"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项目实际产生的收益与计划收益偏离程度。</w:t>
            </w:r>
          </w:p>
        </w:tc>
        <w:tc>
          <w:tcPr>
            <w:tcW w:w="840"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正偏离或无偏离得满分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负偏离按比例扣分。</w:t>
            </w:r>
          </w:p>
        </w:tc>
        <w:tc>
          <w:tcPr>
            <w:tcW w:w="267"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5</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可持续影响</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（5分）</w:t>
            </w:r>
          </w:p>
        </w:tc>
        <w:tc>
          <w:tcPr>
            <w:tcW w:w="410"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项目</w:t>
            </w:r>
            <w:r>
              <w:rPr>
                <w:rFonts w:hint="eastAsia" w:ascii="Times New Roman" w:hAnsi="Times New Roman" w:eastAsia="仿宋" w:cs="Times New Roman"/>
                <w:color w:val="000000"/>
                <w:kern w:val="0"/>
                <w:sz w:val="24"/>
                <w:szCs w:val="24"/>
                <w:highlight w:val="none"/>
                <w:lang w:val="en-US" w:eastAsia="zh-CN" w:bidi="ar"/>
              </w:rPr>
              <w:t>建筑物</w:t>
            </w:r>
            <w:r>
              <w:rPr>
                <w:rFonts w:hint="default" w:ascii="Times New Roman" w:hAnsi="Times New Roman" w:eastAsia="仿宋" w:cs="Times New Roman"/>
                <w:color w:val="000000"/>
                <w:kern w:val="0"/>
                <w:sz w:val="24"/>
                <w:szCs w:val="24"/>
                <w:highlight w:val="none"/>
                <w:lang w:bidi="ar"/>
              </w:rPr>
              <w:t>设计可持续年限</w:t>
            </w:r>
          </w:p>
        </w:tc>
        <w:tc>
          <w:tcPr>
            <w:tcW w:w="233"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w:t>
            </w:r>
          </w:p>
        </w:tc>
        <w:tc>
          <w:tcPr>
            <w:tcW w:w="1765"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项目在符合国家重大区域发展战略情况下</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项目</w:t>
            </w:r>
            <w:r>
              <w:rPr>
                <w:rFonts w:hint="eastAsia" w:ascii="Times New Roman" w:hAnsi="Times New Roman" w:eastAsia="仿宋" w:cs="Times New Roman"/>
                <w:color w:val="000000"/>
                <w:kern w:val="0"/>
                <w:sz w:val="24"/>
                <w:szCs w:val="24"/>
                <w:highlight w:val="none"/>
                <w:lang w:val="en-US" w:eastAsia="zh-CN" w:bidi="ar"/>
              </w:rPr>
              <w:t>建筑物设计</w:t>
            </w:r>
            <w:r>
              <w:rPr>
                <w:rFonts w:hint="default" w:ascii="Times New Roman" w:hAnsi="Times New Roman" w:eastAsia="仿宋" w:cs="Times New Roman"/>
                <w:color w:val="000000"/>
                <w:kern w:val="0"/>
                <w:sz w:val="24"/>
                <w:szCs w:val="24"/>
                <w:highlight w:val="none"/>
                <w:lang w:bidi="ar"/>
              </w:rPr>
              <w:t>可持续</w:t>
            </w:r>
            <w:r>
              <w:rPr>
                <w:rFonts w:hint="eastAsia" w:ascii="Times New Roman" w:hAnsi="Times New Roman" w:eastAsia="仿宋" w:cs="Times New Roman"/>
                <w:color w:val="000000"/>
                <w:kern w:val="0"/>
                <w:sz w:val="24"/>
                <w:szCs w:val="24"/>
                <w:highlight w:val="none"/>
                <w:lang w:val="en-US" w:eastAsia="zh-CN" w:bidi="ar"/>
              </w:rPr>
              <w:t>使用</w:t>
            </w:r>
            <w:r>
              <w:rPr>
                <w:rFonts w:hint="default" w:ascii="Times New Roman" w:hAnsi="Times New Roman" w:eastAsia="仿宋" w:cs="Times New Roman"/>
                <w:color w:val="000000"/>
                <w:kern w:val="0"/>
                <w:sz w:val="24"/>
                <w:szCs w:val="24"/>
                <w:highlight w:val="none"/>
                <w:lang w:bidi="ar"/>
              </w:rPr>
              <w:t>年限。</w:t>
            </w:r>
          </w:p>
        </w:tc>
        <w:tc>
          <w:tcPr>
            <w:tcW w:w="840"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w:t>
            </w:r>
            <w:r>
              <w:rPr>
                <w:rFonts w:hint="eastAsia"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0年得满分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否则不得分。</w:t>
            </w:r>
          </w:p>
        </w:tc>
        <w:tc>
          <w:tcPr>
            <w:tcW w:w="267"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5</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满意度</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项目实施单位</w:t>
            </w:r>
            <w:r>
              <w:rPr>
                <w:rFonts w:hint="default" w:ascii="Times New Roman" w:hAnsi="Times New Roman" w:eastAsia="仿宋" w:cs="Times New Roman"/>
                <w:color w:val="000000"/>
                <w:kern w:val="0"/>
                <w:sz w:val="24"/>
                <w:szCs w:val="24"/>
                <w:highlight w:val="none"/>
                <w:lang w:bidi="ar"/>
              </w:rPr>
              <w:t>满意度</w:t>
            </w:r>
          </w:p>
        </w:tc>
        <w:tc>
          <w:tcPr>
            <w:tcW w:w="233" w:type="pct"/>
            <w:noWrap w:val="0"/>
            <w:vAlign w:val="center"/>
          </w:tcPr>
          <w:p>
            <w:pPr>
              <w:widowControl/>
              <w:jc w:val="center"/>
              <w:textAlignment w:val="center"/>
              <w:rPr>
                <w:rFonts w:hint="eastAsia" w:ascii="Times New Roman" w:hAnsi="Times New Roman" w:eastAsia="仿宋" w:cs="Times New Roman"/>
                <w:color w:val="000000"/>
                <w:kern w:val="0"/>
                <w:sz w:val="20"/>
                <w:szCs w:val="24"/>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w:t>
            </w:r>
          </w:p>
        </w:tc>
        <w:tc>
          <w:tcPr>
            <w:tcW w:w="1765" w:type="pct"/>
            <w:noWrap w:val="0"/>
            <w:vAlign w:val="center"/>
          </w:tcPr>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0" w:type="pct"/>
            <w:noWrap w:val="0"/>
            <w:vAlign w:val="center"/>
          </w:tcPr>
          <w:p>
            <w:pPr>
              <w:widowControl/>
              <w:jc w:val="left"/>
              <w:textAlignment w:val="center"/>
              <w:rPr>
                <w:rFonts w:hint="eastAsia" w:ascii="Times New Roman" w:hAnsi="Times New Roman" w:eastAsia="仿宋" w:cs="Times New Roman"/>
                <w:color w:val="000000"/>
                <w:kern w:val="2"/>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bidi="ar"/>
              </w:rPr>
              <w:t>满意度</w:t>
            </w:r>
            <w:r>
              <w:rPr>
                <w:rFonts w:hint="default" w:ascii="Times New Roman" w:hAnsi="Times New Roman" w:eastAsia="仿宋" w:cs="Times New Roman"/>
                <w:color w:val="000000"/>
                <w:kern w:val="0"/>
                <w:sz w:val="24"/>
                <w:szCs w:val="24"/>
                <w:highlight w:val="none"/>
                <w:lang w:bidi="ar"/>
              </w:rPr>
              <w:t>≥90%得满分，＜90%，得分=满意度×指标权重</w:t>
            </w:r>
            <w:r>
              <w:rPr>
                <w:rFonts w:hint="eastAsia" w:ascii="Times New Roman" w:hAnsi="Times New Roman" w:eastAsia="仿宋" w:cs="Times New Roman"/>
                <w:color w:val="000000"/>
                <w:kern w:val="0"/>
                <w:sz w:val="24"/>
                <w:szCs w:val="24"/>
                <w:highlight w:val="none"/>
                <w:lang w:eastAsia="zh-CN" w:bidi="ar"/>
              </w:rPr>
              <w:t>。</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red"/>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项目主管部门满意度</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0"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val="en-US" w:eastAsia="zh-CN" w:bidi="ar"/>
              </w:rPr>
              <w:t>满意度</w:t>
            </w:r>
            <w:r>
              <w:rPr>
                <w:rFonts w:hint="default" w:ascii="Times New Roman" w:hAnsi="Times New Roman" w:eastAsia="仿宋" w:cs="Times New Roman"/>
                <w:color w:val="000000"/>
                <w:kern w:val="0"/>
                <w:sz w:val="24"/>
                <w:szCs w:val="24"/>
                <w:highlight w:val="none"/>
                <w:lang w:bidi="ar"/>
              </w:rPr>
              <w:t>≥90%得满分，＜90%，得分=满意度×指标权重</w:t>
            </w:r>
            <w:r>
              <w:rPr>
                <w:rFonts w:hint="eastAsia" w:ascii="Times New Roman" w:hAnsi="Times New Roman" w:eastAsia="仿宋" w:cs="Times New Roman"/>
                <w:color w:val="000000"/>
                <w:kern w:val="0"/>
                <w:sz w:val="24"/>
                <w:szCs w:val="24"/>
                <w:highlight w:val="none"/>
                <w:lang w:eastAsia="zh-CN" w:bidi="ar"/>
              </w:rPr>
              <w:t>。</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red"/>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61"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伊通镇居民</w:t>
            </w:r>
            <w:r>
              <w:rPr>
                <w:rFonts w:hint="default" w:ascii="Times New Roman" w:hAnsi="Times New Roman" w:eastAsia="仿宋" w:cs="Times New Roman"/>
                <w:color w:val="000000"/>
                <w:kern w:val="0"/>
                <w:sz w:val="24"/>
                <w:szCs w:val="24"/>
                <w:highlight w:val="none"/>
                <w:lang w:bidi="ar"/>
              </w:rPr>
              <w:t>满意度</w:t>
            </w:r>
          </w:p>
        </w:tc>
        <w:tc>
          <w:tcPr>
            <w:tcW w:w="233" w:type="pct"/>
            <w:noWrap w:val="0"/>
            <w:vAlign w:val="center"/>
          </w:tcPr>
          <w:p>
            <w:pPr>
              <w:widowControl/>
              <w:jc w:val="center"/>
              <w:textAlignment w:val="center"/>
              <w:rPr>
                <w:rFonts w:hint="eastAsia" w:ascii="Times New Roman" w:hAnsi="Times New Roman" w:eastAsia="仿宋" w:cs="Times New Roman"/>
                <w:color w:val="000000"/>
                <w:kern w:val="0"/>
                <w:sz w:val="20"/>
                <w:szCs w:val="24"/>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3</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0"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val="en-US" w:eastAsia="zh-CN" w:bidi="ar"/>
              </w:rPr>
              <w:t>满意度</w:t>
            </w:r>
            <w:r>
              <w:rPr>
                <w:rFonts w:hint="default" w:ascii="Times New Roman" w:hAnsi="Times New Roman" w:eastAsia="仿宋" w:cs="Times New Roman"/>
                <w:color w:val="000000"/>
                <w:kern w:val="0"/>
                <w:sz w:val="24"/>
                <w:szCs w:val="24"/>
                <w:highlight w:val="none"/>
                <w:lang w:bidi="ar"/>
              </w:rPr>
              <w:t>≥90%得满分，＜90%，得分=满意度×指标权重</w:t>
            </w:r>
            <w:r>
              <w:rPr>
                <w:rFonts w:hint="eastAsia" w:ascii="Times New Roman" w:hAnsi="Times New Roman" w:eastAsia="仿宋" w:cs="Times New Roman"/>
                <w:color w:val="000000"/>
                <w:kern w:val="0"/>
                <w:sz w:val="24"/>
                <w:szCs w:val="24"/>
                <w:highlight w:val="none"/>
                <w:lang w:eastAsia="zh-CN" w:bidi="ar"/>
              </w:rPr>
              <w:t>。</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2.46</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red"/>
                <w:lang w:val="en-US" w:eastAsia="zh-CN" w:bidi="ar"/>
              </w:rPr>
            </w:pPr>
            <w:r>
              <w:rPr>
                <w:rFonts w:hint="default" w:ascii="Times New Roman" w:hAnsi="Times New Roman" w:eastAsia="仿宋" w:cs="Times New Roman"/>
                <w:color w:val="000000"/>
                <w:kern w:val="0"/>
                <w:sz w:val="24"/>
                <w:szCs w:val="24"/>
                <w:highlight w:val="none"/>
                <w:lang w:bidi="ar"/>
              </w:rPr>
              <w:t>满意度</w:t>
            </w:r>
            <w:r>
              <w:rPr>
                <w:rFonts w:hint="eastAsia" w:ascii="Times New Roman" w:hAnsi="Times New Roman" w:eastAsia="仿宋" w:cs="Times New Roman"/>
                <w:color w:val="000000"/>
                <w:kern w:val="0"/>
                <w:sz w:val="24"/>
                <w:szCs w:val="24"/>
                <w:highlight w:val="none"/>
                <w:lang w:eastAsia="zh-CN" w:bidi="ar"/>
              </w:rPr>
              <w:t>为</w:t>
            </w:r>
            <w:r>
              <w:rPr>
                <w:rFonts w:hint="eastAsia" w:ascii="Times New Roman" w:hAnsi="Times New Roman" w:eastAsia="仿宋" w:cs="Times New Roman"/>
                <w:color w:val="000000"/>
                <w:kern w:val="0"/>
                <w:sz w:val="24"/>
                <w:szCs w:val="24"/>
                <w:highlight w:val="none"/>
                <w:lang w:val="en-US" w:eastAsia="zh-CN" w:bidi="ar"/>
              </w:rPr>
              <w:t>82.13</w:t>
            </w:r>
            <w:r>
              <w:rPr>
                <w:rFonts w:hint="default" w:ascii="Times New Roman" w:hAnsi="Times New Roman" w:eastAsia="仿宋" w:cs="Times New Roman"/>
                <w:color w:val="000000"/>
                <w:kern w:val="0"/>
                <w:sz w:val="24"/>
                <w:szCs w:val="24"/>
                <w:highlight w:val="none"/>
                <w:lang w:val="en-US" w:eastAsia="zh-CN" w:bidi="ar"/>
              </w:rPr>
              <w:t>%</w:t>
            </w:r>
            <w:r>
              <w:rPr>
                <w:rFonts w:hint="eastAsia"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19" w:type="pct"/>
            <w:gridSpan w:val="6"/>
            <w:noWrap w:val="0"/>
            <w:vAlign w:val="center"/>
          </w:tcPr>
          <w:p>
            <w:pPr>
              <w:widowControl/>
              <w:jc w:val="center"/>
              <w:textAlignment w:val="center"/>
              <w:rPr>
                <w:rFonts w:hint="eastAsia" w:ascii="Times New Roman" w:hAnsi="Times New Roman" w:eastAsia="仿宋" w:cs="Times New Roman"/>
                <w:b/>
                <w:bCs/>
                <w:color w:val="000000"/>
                <w:kern w:val="0"/>
                <w:sz w:val="24"/>
                <w:szCs w:val="24"/>
                <w:highlight w:val="none"/>
                <w:lang w:eastAsia="zh-CN" w:bidi="ar"/>
              </w:rPr>
            </w:pPr>
            <w:r>
              <w:rPr>
                <w:rFonts w:hint="eastAsia" w:ascii="Times New Roman" w:hAnsi="Times New Roman" w:eastAsia="仿宋" w:cs="Times New Roman"/>
                <w:b/>
                <w:bCs/>
                <w:color w:val="000000"/>
                <w:kern w:val="0"/>
                <w:sz w:val="24"/>
                <w:szCs w:val="24"/>
                <w:highlight w:val="none"/>
                <w:lang w:eastAsia="zh-CN" w:bidi="ar"/>
              </w:rPr>
              <w:t>合计</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70.47</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p>
        </w:tc>
      </w:tr>
    </w:tbl>
    <w:p>
      <w:pPr>
        <w:rPr>
          <w:rFonts w:hint="default"/>
          <w:lang w:val="en-US" w:eastAsia="zh-CN"/>
        </w:rPr>
      </w:pPr>
    </w:p>
    <w:sectPr>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9119E"/>
    <w:multiLevelType w:val="singleLevel"/>
    <w:tmpl w:val="A519119E"/>
    <w:lvl w:ilvl="0" w:tentative="0">
      <w:start w:val="6"/>
      <w:numFmt w:val="chineseCounting"/>
      <w:suff w:val="nothing"/>
      <w:lvlText w:val="%1、"/>
      <w:lvlJc w:val="left"/>
      <w:rPr>
        <w:rFonts w:hint="eastAsia"/>
      </w:rPr>
    </w:lvl>
  </w:abstractNum>
  <w:abstractNum w:abstractNumId="1">
    <w:nsid w:val="DC3113C3"/>
    <w:multiLevelType w:val="singleLevel"/>
    <w:tmpl w:val="DC3113C3"/>
    <w:lvl w:ilvl="0" w:tentative="0">
      <w:start w:val="1"/>
      <w:numFmt w:val="chineseCounting"/>
      <w:suff w:val="nothing"/>
      <w:lvlText w:val="（%1）"/>
      <w:lvlJc w:val="left"/>
      <w:rPr>
        <w:rFonts w:hint="eastAsia"/>
      </w:rPr>
    </w:lvl>
  </w:abstractNum>
  <w:abstractNum w:abstractNumId="2">
    <w:nsid w:val="49A276D9"/>
    <w:multiLevelType w:val="singleLevel"/>
    <w:tmpl w:val="49A276D9"/>
    <w:lvl w:ilvl="0" w:tentative="0">
      <w:start w:val="2"/>
      <w:numFmt w:val="decimal"/>
      <w:lvlText w:val="%1."/>
      <w:lvlJc w:val="left"/>
      <w:pPr>
        <w:tabs>
          <w:tab w:val="left" w:pos="312"/>
        </w:tabs>
      </w:pPr>
    </w:lvl>
  </w:abstractNum>
  <w:abstractNum w:abstractNumId="3">
    <w:nsid w:val="6FB51805"/>
    <w:multiLevelType w:val="singleLevel"/>
    <w:tmpl w:val="6FB51805"/>
    <w:lvl w:ilvl="0" w:tentative="0">
      <w:start w:val="4"/>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mVjOGNjYmUxZjAwOWVlNGZlODQxYWJiMTAwNmQifQ=="/>
  </w:docVars>
  <w:rsids>
    <w:rsidRoot w:val="00172A27"/>
    <w:rsid w:val="00070F94"/>
    <w:rsid w:val="000C02DD"/>
    <w:rsid w:val="00292BAB"/>
    <w:rsid w:val="00E66B35"/>
    <w:rsid w:val="00FF1D3D"/>
    <w:rsid w:val="0221659B"/>
    <w:rsid w:val="022C33BC"/>
    <w:rsid w:val="023613A4"/>
    <w:rsid w:val="02794276"/>
    <w:rsid w:val="02AB3D4B"/>
    <w:rsid w:val="02B81229"/>
    <w:rsid w:val="02BA58A5"/>
    <w:rsid w:val="034822A9"/>
    <w:rsid w:val="0397607D"/>
    <w:rsid w:val="03CF5782"/>
    <w:rsid w:val="040F5EDE"/>
    <w:rsid w:val="04CE75EE"/>
    <w:rsid w:val="052120A3"/>
    <w:rsid w:val="05404C1F"/>
    <w:rsid w:val="055434C0"/>
    <w:rsid w:val="05710D7E"/>
    <w:rsid w:val="058F525E"/>
    <w:rsid w:val="059B00A7"/>
    <w:rsid w:val="05A607FA"/>
    <w:rsid w:val="05E76E48"/>
    <w:rsid w:val="06624721"/>
    <w:rsid w:val="06BB4388"/>
    <w:rsid w:val="06CD7A39"/>
    <w:rsid w:val="06CE625A"/>
    <w:rsid w:val="06DD0860"/>
    <w:rsid w:val="072155FB"/>
    <w:rsid w:val="073267E9"/>
    <w:rsid w:val="079A5103"/>
    <w:rsid w:val="07B75F20"/>
    <w:rsid w:val="07E357A1"/>
    <w:rsid w:val="07F25F78"/>
    <w:rsid w:val="0865674A"/>
    <w:rsid w:val="08713341"/>
    <w:rsid w:val="0888565B"/>
    <w:rsid w:val="08D321F3"/>
    <w:rsid w:val="09C556F2"/>
    <w:rsid w:val="09E27460"/>
    <w:rsid w:val="09FC4E8C"/>
    <w:rsid w:val="0A497E95"/>
    <w:rsid w:val="0A73514E"/>
    <w:rsid w:val="0BE34556"/>
    <w:rsid w:val="0C37664F"/>
    <w:rsid w:val="0C792B06"/>
    <w:rsid w:val="0CCC408F"/>
    <w:rsid w:val="0CEA6D92"/>
    <w:rsid w:val="0D044784"/>
    <w:rsid w:val="0D110C4F"/>
    <w:rsid w:val="0D3037CB"/>
    <w:rsid w:val="0D676AC1"/>
    <w:rsid w:val="0D9553DC"/>
    <w:rsid w:val="0D98311E"/>
    <w:rsid w:val="0DFC1714"/>
    <w:rsid w:val="0E083E00"/>
    <w:rsid w:val="0E0B38F0"/>
    <w:rsid w:val="0E173A4B"/>
    <w:rsid w:val="0E2D3866"/>
    <w:rsid w:val="0E5528DD"/>
    <w:rsid w:val="0F220EF1"/>
    <w:rsid w:val="0FDD1D6F"/>
    <w:rsid w:val="10035008"/>
    <w:rsid w:val="100625C1"/>
    <w:rsid w:val="10B85D98"/>
    <w:rsid w:val="111927C8"/>
    <w:rsid w:val="113413B0"/>
    <w:rsid w:val="12241424"/>
    <w:rsid w:val="12350A34"/>
    <w:rsid w:val="123F000C"/>
    <w:rsid w:val="12617F82"/>
    <w:rsid w:val="12706AE7"/>
    <w:rsid w:val="12A14112"/>
    <w:rsid w:val="135F4698"/>
    <w:rsid w:val="139D323C"/>
    <w:rsid w:val="14104D73"/>
    <w:rsid w:val="146A5814"/>
    <w:rsid w:val="14D358A8"/>
    <w:rsid w:val="14ED32DE"/>
    <w:rsid w:val="158F3EE9"/>
    <w:rsid w:val="15A43CFB"/>
    <w:rsid w:val="160457F4"/>
    <w:rsid w:val="164311AE"/>
    <w:rsid w:val="166B7621"/>
    <w:rsid w:val="16B014D8"/>
    <w:rsid w:val="16E7779C"/>
    <w:rsid w:val="173043C7"/>
    <w:rsid w:val="175005C5"/>
    <w:rsid w:val="18BC5F12"/>
    <w:rsid w:val="18CE3E98"/>
    <w:rsid w:val="19467ED2"/>
    <w:rsid w:val="1A05270E"/>
    <w:rsid w:val="1A582963"/>
    <w:rsid w:val="1A817E66"/>
    <w:rsid w:val="1A9133CF"/>
    <w:rsid w:val="1AB05F4B"/>
    <w:rsid w:val="1AC76DF0"/>
    <w:rsid w:val="1B0B4F2F"/>
    <w:rsid w:val="1B255574"/>
    <w:rsid w:val="1B8076CB"/>
    <w:rsid w:val="1C5B3C94"/>
    <w:rsid w:val="1CDF0BE5"/>
    <w:rsid w:val="1CE67A02"/>
    <w:rsid w:val="1D61352C"/>
    <w:rsid w:val="1DCB3F1A"/>
    <w:rsid w:val="1DFB171C"/>
    <w:rsid w:val="1E2C3B3A"/>
    <w:rsid w:val="1E3649B9"/>
    <w:rsid w:val="1EBD29E4"/>
    <w:rsid w:val="1F296DAB"/>
    <w:rsid w:val="1F332CA6"/>
    <w:rsid w:val="1F3A5DE3"/>
    <w:rsid w:val="1F9574BD"/>
    <w:rsid w:val="1FEA15B7"/>
    <w:rsid w:val="202545A7"/>
    <w:rsid w:val="2068215C"/>
    <w:rsid w:val="20697DEF"/>
    <w:rsid w:val="20717F2A"/>
    <w:rsid w:val="20AD09FF"/>
    <w:rsid w:val="21053419"/>
    <w:rsid w:val="21283D58"/>
    <w:rsid w:val="2130749E"/>
    <w:rsid w:val="21372575"/>
    <w:rsid w:val="21D97B35"/>
    <w:rsid w:val="21ED538F"/>
    <w:rsid w:val="22043519"/>
    <w:rsid w:val="221B014E"/>
    <w:rsid w:val="222D60D3"/>
    <w:rsid w:val="23310CF5"/>
    <w:rsid w:val="233F337B"/>
    <w:rsid w:val="23897339"/>
    <w:rsid w:val="24507E57"/>
    <w:rsid w:val="2492046F"/>
    <w:rsid w:val="254C6870"/>
    <w:rsid w:val="25E658B1"/>
    <w:rsid w:val="2624159B"/>
    <w:rsid w:val="26865DB2"/>
    <w:rsid w:val="271C3136"/>
    <w:rsid w:val="273864DE"/>
    <w:rsid w:val="27636863"/>
    <w:rsid w:val="27653C19"/>
    <w:rsid w:val="27B30E28"/>
    <w:rsid w:val="28442403"/>
    <w:rsid w:val="28BB5CC4"/>
    <w:rsid w:val="28C8445F"/>
    <w:rsid w:val="28DA4193"/>
    <w:rsid w:val="292440F6"/>
    <w:rsid w:val="29E4471F"/>
    <w:rsid w:val="2A2C0A1E"/>
    <w:rsid w:val="2B0100FD"/>
    <w:rsid w:val="2B577D1D"/>
    <w:rsid w:val="2BAF7B59"/>
    <w:rsid w:val="2BE27BD1"/>
    <w:rsid w:val="2BEB5C4D"/>
    <w:rsid w:val="2C5B55EB"/>
    <w:rsid w:val="2C697D08"/>
    <w:rsid w:val="2D0A14EA"/>
    <w:rsid w:val="2D2500D2"/>
    <w:rsid w:val="2DAF59E2"/>
    <w:rsid w:val="2DCC054E"/>
    <w:rsid w:val="2E6A7D67"/>
    <w:rsid w:val="2EE23494"/>
    <w:rsid w:val="304C5976"/>
    <w:rsid w:val="30550954"/>
    <w:rsid w:val="30670A02"/>
    <w:rsid w:val="31322DBE"/>
    <w:rsid w:val="31B351D7"/>
    <w:rsid w:val="32384404"/>
    <w:rsid w:val="33E5039F"/>
    <w:rsid w:val="34214611"/>
    <w:rsid w:val="34441169"/>
    <w:rsid w:val="344E43B3"/>
    <w:rsid w:val="34621C0C"/>
    <w:rsid w:val="34665552"/>
    <w:rsid w:val="34675474"/>
    <w:rsid w:val="34CC52D7"/>
    <w:rsid w:val="34F52A80"/>
    <w:rsid w:val="34FE4B50"/>
    <w:rsid w:val="351F7AFD"/>
    <w:rsid w:val="354C01C6"/>
    <w:rsid w:val="358F043D"/>
    <w:rsid w:val="35957DBF"/>
    <w:rsid w:val="35E13004"/>
    <w:rsid w:val="363B2715"/>
    <w:rsid w:val="364A2B14"/>
    <w:rsid w:val="36756D26"/>
    <w:rsid w:val="369167D9"/>
    <w:rsid w:val="372F1B4E"/>
    <w:rsid w:val="378F7492"/>
    <w:rsid w:val="37AB38CA"/>
    <w:rsid w:val="37E56DDC"/>
    <w:rsid w:val="37E64DB8"/>
    <w:rsid w:val="38EC5F48"/>
    <w:rsid w:val="39081FEC"/>
    <w:rsid w:val="39447B32"/>
    <w:rsid w:val="3958089A"/>
    <w:rsid w:val="398C14D9"/>
    <w:rsid w:val="39994269"/>
    <w:rsid w:val="3A655FB2"/>
    <w:rsid w:val="3A8A5A19"/>
    <w:rsid w:val="3B0A0908"/>
    <w:rsid w:val="3B0E03F8"/>
    <w:rsid w:val="3C990195"/>
    <w:rsid w:val="3C9F32D2"/>
    <w:rsid w:val="3CAD1556"/>
    <w:rsid w:val="3CB87DAE"/>
    <w:rsid w:val="3CCA47F2"/>
    <w:rsid w:val="3CD7348A"/>
    <w:rsid w:val="3D521C65"/>
    <w:rsid w:val="3DD96376"/>
    <w:rsid w:val="3DF470B7"/>
    <w:rsid w:val="3E8F0BBD"/>
    <w:rsid w:val="3ED5122D"/>
    <w:rsid w:val="3F514D57"/>
    <w:rsid w:val="3F9905F8"/>
    <w:rsid w:val="3FEC4A80"/>
    <w:rsid w:val="400718BA"/>
    <w:rsid w:val="40120256"/>
    <w:rsid w:val="406D5BC1"/>
    <w:rsid w:val="40A610D2"/>
    <w:rsid w:val="41AF315D"/>
    <w:rsid w:val="42102FC1"/>
    <w:rsid w:val="42366486"/>
    <w:rsid w:val="423A7D24"/>
    <w:rsid w:val="42586730"/>
    <w:rsid w:val="43A70133"/>
    <w:rsid w:val="43FC5BC8"/>
    <w:rsid w:val="441E6652"/>
    <w:rsid w:val="443C4228"/>
    <w:rsid w:val="44DC68F6"/>
    <w:rsid w:val="44FD20DD"/>
    <w:rsid w:val="451F7728"/>
    <w:rsid w:val="45313B82"/>
    <w:rsid w:val="45844DFA"/>
    <w:rsid w:val="45DE72AE"/>
    <w:rsid w:val="460427D0"/>
    <w:rsid w:val="46D97395"/>
    <w:rsid w:val="4710713F"/>
    <w:rsid w:val="472C6247"/>
    <w:rsid w:val="47632624"/>
    <w:rsid w:val="477A0BC3"/>
    <w:rsid w:val="482A25E9"/>
    <w:rsid w:val="49284D7B"/>
    <w:rsid w:val="493E459E"/>
    <w:rsid w:val="49831FB1"/>
    <w:rsid w:val="49971F00"/>
    <w:rsid w:val="49BE748D"/>
    <w:rsid w:val="49D00B18"/>
    <w:rsid w:val="4A777A20"/>
    <w:rsid w:val="4B0610EB"/>
    <w:rsid w:val="4BE55EEE"/>
    <w:rsid w:val="4C545E87"/>
    <w:rsid w:val="4C76404F"/>
    <w:rsid w:val="4C96649F"/>
    <w:rsid w:val="4CFD207A"/>
    <w:rsid w:val="4D9329DF"/>
    <w:rsid w:val="4D9A5B1B"/>
    <w:rsid w:val="4DDC25D7"/>
    <w:rsid w:val="4E892C28"/>
    <w:rsid w:val="4EA44078"/>
    <w:rsid w:val="4EC07803"/>
    <w:rsid w:val="4F292064"/>
    <w:rsid w:val="4F4628B7"/>
    <w:rsid w:val="4FA40ED3"/>
    <w:rsid w:val="50334005"/>
    <w:rsid w:val="505E72D4"/>
    <w:rsid w:val="511300BE"/>
    <w:rsid w:val="51253D07"/>
    <w:rsid w:val="516E1798"/>
    <w:rsid w:val="51FD2B1C"/>
    <w:rsid w:val="524940F7"/>
    <w:rsid w:val="52685999"/>
    <w:rsid w:val="526A6404"/>
    <w:rsid w:val="53B65679"/>
    <w:rsid w:val="53EC2E48"/>
    <w:rsid w:val="54293691"/>
    <w:rsid w:val="542D3AB2"/>
    <w:rsid w:val="54663956"/>
    <w:rsid w:val="54B90F7D"/>
    <w:rsid w:val="54DB6047"/>
    <w:rsid w:val="55200136"/>
    <w:rsid w:val="553A010A"/>
    <w:rsid w:val="55A0038E"/>
    <w:rsid w:val="55CF47D0"/>
    <w:rsid w:val="55FB55C5"/>
    <w:rsid w:val="56020701"/>
    <w:rsid w:val="56623FD3"/>
    <w:rsid w:val="56972BF1"/>
    <w:rsid w:val="56EA4A82"/>
    <w:rsid w:val="57923D07"/>
    <w:rsid w:val="57A37CC2"/>
    <w:rsid w:val="57CD4D3F"/>
    <w:rsid w:val="58786626"/>
    <w:rsid w:val="58A03A03"/>
    <w:rsid w:val="58E00096"/>
    <w:rsid w:val="592A2449"/>
    <w:rsid w:val="593648E1"/>
    <w:rsid w:val="59995821"/>
    <w:rsid w:val="59BE1BE5"/>
    <w:rsid w:val="59DD395F"/>
    <w:rsid w:val="59E06FAB"/>
    <w:rsid w:val="5A380B96"/>
    <w:rsid w:val="5A572253"/>
    <w:rsid w:val="5ACE5056"/>
    <w:rsid w:val="5B8878FB"/>
    <w:rsid w:val="5C0F2452"/>
    <w:rsid w:val="5C367357"/>
    <w:rsid w:val="5C7560D1"/>
    <w:rsid w:val="5D417D61"/>
    <w:rsid w:val="5D50242B"/>
    <w:rsid w:val="5D5850AB"/>
    <w:rsid w:val="5DEF5A0F"/>
    <w:rsid w:val="5E85400F"/>
    <w:rsid w:val="5E8B1BDC"/>
    <w:rsid w:val="5EBB7FE7"/>
    <w:rsid w:val="5F225970"/>
    <w:rsid w:val="5F7D383C"/>
    <w:rsid w:val="5FE87CD7"/>
    <w:rsid w:val="6005776C"/>
    <w:rsid w:val="60082DB8"/>
    <w:rsid w:val="60161979"/>
    <w:rsid w:val="60174E29"/>
    <w:rsid w:val="604146E8"/>
    <w:rsid w:val="604E2AC6"/>
    <w:rsid w:val="607B5C80"/>
    <w:rsid w:val="61720E31"/>
    <w:rsid w:val="625E13B5"/>
    <w:rsid w:val="62EC4C13"/>
    <w:rsid w:val="63395D46"/>
    <w:rsid w:val="635E105A"/>
    <w:rsid w:val="638766EA"/>
    <w:rsid w:val="63CD4B49"/>
    <w:rsid w:val="64915A72"/>
    <w:rsid w:val="64E233A1"/>
    <w:rsid w:val="65091AAC"/>
    <w:rsid w:val="65476131"/>
    <w:rsid w:val="655A40B6"/>
    <w:rsid w:val="655C3287"/>
    <w:rsid w:val="655F3341"/>
    <w:rsid w:val="657333CA"/>
    <w:rsid w:val="659D053D"/>
    <w:rsid w:val="65C10D3D"/>
    <w:rsid w:val="66404FCB"/>
    <w:rsid w:val="669259E8"/>
    <w:rsid w:val="66FB3677"/>
    <w:rsid w:val="672A2550"/>
    <w:rsid w:val="67383445"/>
    <w:rsid w:val="674925DF"/>
    <w:rsid w:val="678F3DBF"/>
    <w:rsid w:val="67FA392E"/>
    <w:rsid w:val="67FF0F45"/>
    <w:rsid w:val="68183DB4"/>
    <w:rsid w:val="686D4100"/>
    <w:rsid w:val="68B7181F"/>
    <w:rsid w:val="68C841BE"/>
    <w:rsid w:val="68DE6DAC"/>
    <w:rsid w:val="690B56C7"/>
    <w:rsid w:val="69757639"/>
    <w:rsid w:val="69935DE8"/>
    <w:rsid w:val="69AC2EDC"/>
    <w:rsid w:val="69D97F03"/>
    <w:rsid w:val="6A246634"/>
    <w:rsid w:val="6A507835"/>
    <w:rsid w:val="6A9C0CCD"/>
    <w:rsid w:val="6AAA3AEF"/>
    <w:rsid w:val="6AD71D05"/>
    <w:rsid w:val="6B1C4213"/>
    <w:rsid w:val="6B3D734F"/>
    <w:rsid w:val="6B9B71D6"/>
    <w:rsid w:val="6BE556A3"/>
    <w:rsid w:val="6BF012D0"/>
    <w:rsid w:val="6C117498"/>
    <w:rsid w:val="6D176D30"/>
    <w:rsid w:val="6D567859"/>
    <w:rsid w:val="6D9263B7"/>
    <w:rsid w:val="6D956814"/>
    <w:rsid w:val="6DA95A0A"/>
    <w:rsid w:val="6DE2507C"/>
    <w:rsid w:val="6DF962B1"/>
    <w:rsid w:val="6E081C8E"/>
    <w:rsid w:val="6E3D37E4"/>
    <w:rsid w:val="6E6E7F51"/>
    <w:rsid w:val="6E89393F"/>
    <w:rsid w:val="6EC30F1E"/>
    <w:rsid w:val="70B56644"/>
    <w:rsid w:val="70CD7E32"/>
    <w:rsid w:val="717222D1"/>
    <w:rsid w:val="7189187F"/>
    <w:rsid w:val="72347A3D"/>
    <w:rsid w:val="72834520"/>
    <w:rsid w:val="72EC569F"/>
    <w:rsid w:val="72F0605A"/>
    <w:rsid w:val="736B56E0"/>
    <w:rsid w:val="7375030D"/>
    <w:rsid w:val="738B451F"/>
    <w:rsid w:val="738F5266"/>
    <w:rsid w:val="742D0BE7"/>
    <w:rsid w:val="74A92964"/>
    <w:rsid w:val="750706FF"/>
    <w:rsid w:val="75371D1E"/>
    <w:rsid w:val="75630D65"/>
    <w:rsid w:val="75A44ED9"/>
    <w:rsid w:val="75E80A83"/>
    <w:rsid w:val="761E4072"/>
    <w:rsid w:val="76326989"/>
    <w:rsid w:val="76AB776C"/>
    <w:rsid w:val="77512C10"/>
    <w:rsid w:val="77811976"/>
    <w:rsid w:val="77C27899"/>
    <w:rsid w:val="78D60ABD"/>
    <w:rsid w:val="791E406E"/>
    <w:rsid w:val="796C5CB8"/>
    <w:rsid w:val="79F04B91"/>
    <w:rsid w:val="7A3244DB"/>
    <w:rsid w:val="7A39523D"/>
    <w:rsid w:val="7A6F3D08"/>
    <w:rsid w:val="7AC878BC"/>
    <w:rsid w:val="7AD24297"/>
    <w:rsid w:val="7AD463E6"/>
    <w:rsid w:val="7AEF6BF7"/>
    <w:rsid w:val="7B2953F0"/>
    <w:rsid w:val="7B533629"/>
    <w:rsid w:val="7C853D30"/>
    <w:rsid w:val="7CD80212"/>
    <w:rsid w:val="7CE64029"/>
    <w:rsid w:val="7D290158"/>
    <w:rsid w:val="7D6531A0"/>
    <w:rsid w:val="7DC625E3"/>
    <w:rsid w:val="7DFC3B04"/>
    <w:rsid w:val="7E1846B6"/>
    <w:rsid w:val="7E865AC4"/>
    <w:rsid w:val="7EFC7B34"/>
    <w:rsid w:val="7F43222E"/>
    <w:rsid w:val="7F814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napToGrid w:val="0"/>
      <w:spacing w:before="0" w:beforeAutospacing="0" w:after="0" w:afterAutospacing="0" w:line="360" w:lineRule="auto"/>
      <w:ind w:left="0" w:leftChars="0" w:firstLine="0" w:firstLineChars="0"/>
      <w:jc w:val="left"/>
      <w:outlineLvl w:val="0"/>
    </w:pPr>
    <w:rPr>
      <w:rFonts w:hint="eastAsia" w:ascii="宋体" w:hAnsi="宋体" w:eastAsia="仿宋" w:cs="仿宋"/>
      <w:b/>
      <w:bCs/>
      <w:kern w:val="44"/>
      <w:sz w:val="36"/>
      <w:szCs w:val="48"/>
      <w:lang w:bidi="ar"/>
    </w:rPr>
  </w:style>
  <w:style w:type="paragraph" w:styleId="4">
    <w:name w:val="heading 2"/>
    <w:basedOn w:val="1"/>
    <w:next w:val="1"/>
    <w:unhideWhenUsed/>
    <w:qFormat/>
    <w:uiPriority w:val="0"/>
    <w:pPr>
      <w:keepNext/>
      <w:keepLines/>
      <w:adjustRightInd w:val="0"/>
      <w:snapToGrid w:val="0"/>
      <w:spacing w:beforeLines="0" w:beforeAutospacing="0" w:afterLines="0" w:afterAutospacing="0" w:line="360" w:lineRule="auto"/>
      <w:ind w:left="420" w:leftChars="200" w:firstLine="0" w:firstLineChars="0"/>
      <w:jc w:val="left"/>
      <w:outlineLvl w:val="1"/>
    </w:pPr>
    <w:rPr>
      <w:rFonts w:ascii="Arial" w:hAnsi="Arial" w:eastAsia="仿宋"/>
      <w:b/>
      <w:sz w:val="32"/>
    </w:rPr>
  </w:style>
  <w:style w:type="paragraph" w:styleId="5">
    <w:name w:val="heading 4"/>
    <w:basedOn w:val="1"/>
    <w:next w:val="1"/>
    <w:link w:val="2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line="240" w:lineRule="auto"/>
      <w:ind w:leftChars="-133" w:firstLine="560" w:firstLineChars="200"/>
    </w:pPr>
    <w:rPr>
      <w:rFonts w:ascii="宋体" w:hAnsi="宋体"/>
      <w:szCs w:val="20"/>
    </w:rPr>
  </w:style>
  <w:style w:type="paragraph" w:styleId="8">
    <w:name w:val="footer"/>
    <w:basedOn w:val="1"/>
    <w:qFormat/>
    <w:uiPriority w:val="0"/>
    <w:pPr>
      <w:tabs>
        <w:tab w:val="center" w:pos="4153"/>
        <w:tab w:val="right" w:pos="8306"/>
      </w:tabs>
      <w:snapToGrid w:val="0"/>
      <w:spacing w:line="240" w:lineRule="auto"/>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360" w:lineRule="auto"/>
    </w:pPr>
    <w:rPr>
      <w:rFonts w:eastAsia="仿宋" w:asciiTheme="minorAscii" w:hAnsiTheme="minorAscii"/>
      <w:sz w:val="28"/>
    </w:rPr>
  </w:style>
  <w:style w:type="paragraph" w:styleId="11">
    <w:name w:val="toc 2"/>
    <w:basedOn w:val="1"/>
    <w:next w:val="1"/>
    <w:qFormat/>
    <w:uiPriority w:val="0"/>
    <w:pPr>
      <w:spacing w:line="360" w:lineRule="auto"/>
      <w:ind w:left="420" w:leftChars="200"/>
    </w:pPr>
    <w:rPr>
      <w:rFonts w:eastAsia="仿宋" w:asciiTheme="minorAscii" w:hAnsiTheme="minorAscii"/>
      <w:sz w:val="2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4">
    <w:name w:val="Body Text First Indent 2"/>
    <w:basedOn w:val="7"/>
    <w:unhideWhenUsed/>
    <w:qFormat/>
    <w:uiPriority w:val="99"/>
    <w:pPr>
      <w:ind w:firstLine="420" w:firstLineChars="200"/>
    </w:pPr>
    <w:rPr>
      <w:rFonts w:ascii="宋体" w:hAnsi="宋体"/>
      <w:sz w:val="30"/>
      <w:szCs w:val="3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Default"/>
    <w:qFormat/>
    <w:uiPriority w:val="0"/>
    <w:pPr>
      <w:widowControl w:val="0"/>
      <w:autoSpaceDE w:val="0"/>
      <w:autoSpaceDN w:val="0"/>
      <w:adjustRightInd w:val="0"/>
      <w:spacing w:after="200" w:line="360" w:lineRule="atLeast"/>
      <w:jc w:val="both"/>
      <w:textAlignment w:val="baseline"/>
    </w:pPr>
    <w:rPr>
      <w:rFonts w:ascii="华文中宋" w:hAnsi="Calibri" w:eastAsia="华文中宋" w:cs="Times New Roman"/>
      <w:color w:val="000000"/>
      <w:sz w:val="24"/>
      <w:szCs w:val="22"/>
      <w:lang w:val="en-US" w:eastAsia="zh-CN" w:bidi="ar-SA"/>
    </w:rPr>
  </w:style>
  <w:style w:type="paragraph" w:customStyle="1" w:styleId="21">
    <w:name w:val="正文（首行缩进）"/>
    <w:basedOn w:val="1"/>
    <w:qFormat/>
    <w:uiPriority w:val="0"/>
    <w:pPr>
      <w:adjustRightInd w:val="0"/>
      <w:snapToGrid w:val="0"/>
      <w:spacing w:line="240" w:lineRule="auto"/>
      <w:ind w:firstLine="361" w:firstLineChars="200"/>
    </w:pPr>
    <w:rPr>
      <w:rFonts w:ascii="Times New Roman" w:hAnsi="Times New Roman" w:eastAsia="仿宋_GB2312"/>
      <w:color w:val="000000"/>
      <w:sz w:val="30"/>
      <w:szCs w:val="23"/>
    </w:rPr>
  </w:style>
  <w:style w:type="character" w:customStyle="1" w:styleId="22">
    <w:name w:val="font01"/>
    <w:qFormat/>
    <w:uiPriority w:val="0"/>
    <w:rPr>
      <w:rFonts w:hint="eastAsia" w:ascii="宋体" w:hAnsi="宋体" w:eastAsia="宋体" w:cs="宋体"/>
      <w:color w:val="000000"/>
      <w:sz w:val="20"/>
      <w:szCs w:val="20"/>
      <w:u w:val="none"/>
    </w:rPr>
  </w:style>
  <w:style w:type="character" w:customStyle="1" w:styleId="23">
    <w:name w:val="font31"/>
    <w:qFormat/>
    <w:uiPriority w:val="0"/>
    <w:rPr>
      <w:rFonts w:hint="eastAsia" w:ascii="宋体" w:hAnsi="宋体" w:eastAsia="宋体" w:cs="宋体"/>
      <w:color w:val="FF0000"/>
      <w:sz w:val="20"/>
      <w:szCs w:val="20"/>
      <w:u w:val="none"/>
    </w:rPr>
  </w:style>
  <w:style w:type="character" w:customStyle="1" w:styleId="24">
    <w:name w:val="font41"/>
    <w:qFormat/>
    <w:uiPriority w:val="0"/>
    <w:rPr>
      <w:rFonts w:hint="eastAsia" w:ascii="宋体" w:hAnsi="宋体" w:eastAsia="宋体" w:cs="宋体"/>
      <w:color w:val="000000"/>
      <w:sz w:val="20"/>
      <w:szCs w:val="20"/>
      <w:u w:val="none"/>
    </w:rPr>
  </w:style>
  <w:style w:type="paragraph" w:customStyle="1" w:styleId="25">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26">
    <w:name w:val="HtmlNormal"/>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sz w:val="24"/>
      <w:szCs w:val="24"/>
      <w:u w:color="000000"/>
      <w:lang w:val="en-US" w:eastAsia="zh-CN" w:bidi="ar-SA"/>
    </w:rPr>
  </w:style>
  <w:style w:type="character" w:customStyle="1" w:styleId="27">
    <w:name w:val="font21"/>
    <w:basedOn w:val="17"/>
    <w:qFormat/>
    <w:uiPriority w:val="0"/>
    <w:rPr>
      <w:rFonts w:hint="default" w:ascii="仿宋_GB2312" w:eastAsia="仿宋_GB2312" w:cs="仿宋_GB2312"/>
      <w:b/>
      <w:bCs/>
      <w:color w:val="000000"/>
      <w:sz w:val="24"/>
      <w:szCs w:val="24"/>
      <w:u w:val="none"/>
    </w:rPr>
  </w:style>
  <w:style w:type="character" w:customStyle="1" w:styleId="28">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满意度</a:t>
            </a:r>
          </a:p>
        </c:rich>
      </c:tx>
      <c:layout>
        <c:manualLayout>
          <c:xMode val="edge"/>
          <c:yMode val="edge"/>
          <c:x val="0.00680555555555556"/>
          <c:y val="0.05208333333333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[工作簿1]Sheet1!$B$28:$B$32</c:f>
              <c:strCache>
                <c:ptCount val="5"/>
                <c:pt idx="0">
                  <c:v>满意度题1 </c:v>
                </c:pt>
                <c:pt idx="1">
                  <c:v>满意度题2 </c:v>
                </c:pt>
                <c:pt idx="2">
                  <c:v>满意度题3 </c:v>
                </c:pt>
                <c:pt idx="3">
                  <c:v>满意度题4 </c:v>
                </c:pt>
                <c:pt idx="4">
                  <c:v>满意度题5 </c:v>
                </c:pt>
              </c:strCache>
            </c:strRef>
          </c:cat>
          <c:val>
            <c:numRef>
              <c:f>[工作簿1]Sheet1!$C$28:$C$32</c:f>
              <c:numCache>
                <c:formatCode>0.00%</c:formatCode>
                <c:ptCount val="5"/>
                <c:pt idx="0">
                  <c:v>0.8283</c:v>
                </c:pt>
                <c:pt idx="1">
                  <c:v>0.813</c:v>
                </c:pt>
                <c:pt idx="2">
                  <c:v>0.8305</c:v>
                </c:pt>
                <c:pt idx="3">
                  <c:v>0.8109</c:v>
                </c:pt>
                <c:pt idx="4">
                  <c:v>0.8239</c:v>
                </c:pt>
              </c:numCache>
            </c:numRef>
          </c:val>
        </c:ser>
        <c:dLbls>
          <c:showLegendKey val="0"/>
          <c:showVal val="1"/>
          <c:showCatName val="0"/>
          <c:showSerName val="0"/>
          <c:showPercent val="0"/>
          <c:showBubbleSize val="0"/>
        </c:dLbls>
        <c:gapWidth val="219"/>
        <c:overlap val="-27"/>
        <c:axId val="502800747"/>
        <c:axId val="907207465"/>
      </c:barChart>
      <c:catAx>
        <c:axId val="5028007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7207465"/>
        <c:crosses val="autoZero"/>
        <c:auto val="1"/>
        <c:lblAlgn val="ctr"/>
        <c:lblOffset val="100"/>
        <c:noMultiLvlLbl val="0"/>
      </c:catAx>
      <c:valAx>
        <c:axId val="90720746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28007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满意度</a:t>
            </a:r>
          </a:p>
        </c:rich>
      </c:tx>
      <c:layout>
        <c:manualLayout>
          <c:xMode val="edge"/>
          <c:yMode val="edge"/>
          <c:x val="0.00416666666666667"/>
          <c:y val="0.0312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[工作簿1]Sheet1!$B$47:$B$51</c:f>
              <c:strCache>
                <c:ptCount val="5"/>
                <c:pt idx="0">
                  <c:v>满意度题1 </c:v>
                </c:pt>
                <c:pt idx="1">
                  <c:v>满意度题2 </c:v>
                </c:pt>
                <c:pt idx="2">
                  <c:v>满意度题3 </c:v>
                </c:pt>
                <c:pt idx="3">
                  <c:v>满意度题4 </c:v>
                </c:pt>
                <c:pt idx="4">
                  <c:v>满意度题5 </c:v>
                </c:pt>
              </c:strCache>
            </c:strRef>
          </c:cat>
          <c:val>
            <c:numRef>
              <c:f>[工作簿1]Sheet1!$C$47:$C$51</c:f>
              <c:numCache>
                <c:formatCode>0%</c:formatCode>
                <c:ptCount val="5"/>
                <c:pt idx="0">
                  <c:v>1</c:v>
                </c:pt>
                <c:pt idx="1">
                  <c:v>0.96</c:v>
                </c:pt>
                <c:pt idx="2">
                  <c:v>0.92</c:v>
                </c:pt>
                <c:pt idx="3">
                  <c:v>0.92</c:v>
                </c:pt>
                <c:pt idx="4">
                  <c:v>0.96</c:v>
                </c:pt>
              </c:numCache>
            </c:numRef>
          </c:val>
        </c:ser>
        <c:dLbls>
          <c:showLegendKey val="0"/>
          <c:showVal val="1"/>
          <c:showCatName val="0"/>
          <c:showSerName val="0"/>
          <c:showPercent val="0"/>
          <c:showBubbleSize val="0"/>
        </c:dLbls>
        <c:gapWidth val="219"/>
        <c:overlap val="-27"/>
        <c:axId val="999491097"/>
        <c:axId val="991385757"/>
      </c:barChart>
      <c:catAx>
        <c:axId val="9994910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85757"/>
        <c:crosses val="autoZero"/>
        <c:auto val="1"/>
        <c:lblAlgn val="ctr"/>
        <c:lblOffset val="100"/>
        <c:noMultiLvlLbl val="0"/>
      </c:catAx>
      <c:valAx>
        <c:axId val="99138575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94910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满意度</a:t>
            </a:r>
          </a:p>
        </c:rich>
      </c:tx>
      <c:layout>
        <c:manualLayout>
          <c:xMode val="edge"/>
          <c:yMode val="edge"/>
          <c:x val="0.0109722222222222"/>
          <c:y val="0.034722222222222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[工作簿1]Sheet1!$B$11:$B$15</c:f>
              <c:strCache>
                <c:ptCount val="5"/>
                <c:pt idx="0">
                  <c:v>满意度题1 </c:v>
                </c:pt>
                <c:pt idx="1">
                  <c:v>满意度题2 </c:v>
                </c:pt>
                <c:pt idx="2">
                  <c:v>满意度题3 </c:v>
                </c:pt>
                <c:pt idx="3">
                  <c:v>满意度题4 </c:v>
                </c:pt>
                <c:pt idx="4">
                  <c:v>满意度题5 </c:v>
                </c:pt>
              </c:strCache>
            </c:strRef>
          </c:cat>
          <c:val>
            <c:numRef>
              <c:f>[工作簿1]Sheet1!$C$11:$C$15</c:f>
              <c:numCache>
                <c:formatCode>0.00%</c:formatCode>
                <c:ptCount val="5"/>
                <c:pt idx="0">
                  <c:v>0.9333</c:v>
                </c:pt>
                <c:pt idx="1">
                  <c:v>0.9286</c:v>
                </c:pt>
                <c:pt idx="2">
                  <c:v>0.9238</c:v>
                </c:pt>
                <c:pt idx="3">
                  <c:v>0.9238</c:v>
                </c:pt>
                <c:pt idx="4">
                  <c:v>0.9238</c:v>
                </c:pt>
              </c:numCache>
            </c:numRef>
          </c:val>
        </c:ser>
        <c:dLbls>
          <c:showLegendKey val="0"/>
          <c:showVal val="1"/>
          <c:showCatName val="0"/>
          <c:showSerName val="0"/>
          <c:showPercent val="0"/>
          <c:showBubbleSize val="0"/>
        </c:dLbls>
        <c:gapWidth val="219"/>
        <c:overlap val="-27"/>
        <c:axId val="345371704"/>
        <c:axId val="389775331"/>
      </c:barChart>
      <c:catAx>
        <c:axId val="3453717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775331"/>
        <c:crosses val="autoZero"/>
        <c:auto val="1"/>
        <c:lblAlgn val="ctr"/>
        <c:lblOffset val="100"/>
        <c:noMultiLvlLbl val="0"/>
      </c:catAx>
      <c:valAx>
        <c:axId val="3897753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371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22329</Words>
  <Characters>25325</Characters>
  <Lines>0</Lines>
  <Paragraphs>0</Paragraphs>
  <TotalTime>1</TotalTime>
  <ScaleCrop>false</ScaleCrop>
  <LinksUpToDate>false</LinksUpToDate>
  <CharactersWithSpaces>25503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"浮华丶黯然失色</cp:lastModifiedBy>
  <dcterms:modified xsi:type="dcterms:W3CDTF">2022-06-30T05:56:49Z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FB09DF20E0F54614A314701ACE5B2F3C</vt:lpwstr>
  </property>
</Properties>
</file>