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1C1982">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伊通满族自治县2024年预算</w:t>
      </w:r>
    </w:p>
    <w:p w14:paraId="76A6647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执行情况和2025年预算（草案）的</w:t>
      </w:r>
    </w:p>
    <w:p w14:paraId="5A08072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报      告</w:t>
      </w:r>
    </w:p>
    <w:p w14:paraId="5D2FF65A">
      <w:pPr>
        <w:jc w:val="center"/>
        <w:rPr>
          <w:rFonts w:hint="eastAsia" w:ascii="楷体" w:hAnsi="楷体" w:eastAsia="楷体" w:cs="楷体"/>
          <w:sz w:val="32"/>
          <w:szCs w:val="32"/>
        </w:rPr>
      </w:pPr>
      <w:r>
        <w:rPr>
          <w:rFonts w:hint="eastAsia" w:ascii="楷体" w:hAnsi="楷体" w:eastAsia="楷体" w:cs="楷体"/>
          <w:sz w:val="32"/>
          <w:szCs w:val="32"/>
        </w:rPr>
        <w:t xml:space="preserve">伊通满族自治县财政局局长 王学锋 </w:t>
      </w:r>
    </w:p>
    <w:p w14:paraId="4A133305">
      <w:pPr>
        <w:pStyle w:val="2"/>
        <w:keepNext w:val="0"/>
        <w:keepLines w:val="0"/>
        <w:pageBreakBefore w:val="0"/>
        <w:widowControl w:val="0"/>
        <w:kinsoku/>
        <w:wordWrap/>
        <w:overflowPunct/>
        <w:topLinePunct w:val="0"/>
        <w:autoSpaceDE/>
        <w:autoSpaceDN/>
        <w:bidi w:val="0"/>
        <w:adjustRightInd/>
        <w:snapToGrid/>
        <w:spacing w:line="600" w:lineRule="exact"/>
        <w:ind w:right="0" w:rightChars="0"/>
        <w:textAlignment w:val="auto"/>
        <w:rPr>
          <w:rFonts w:hint="eastAsia" w:ascii="仿宋" w:hAnsi="仿宋" w:eastAsia="仿宋"/>
          <w:kern w:val="0"/>
          <w:szCs w:val="32"/>
        </w:rPr>
      </w:pPr>
    </w:p>
    <w:p w14:paraId="01FE858A">
      <w:pPr>
        <w:keepNext w:val="0"/>
        <w:keepLines w:val="0"/>
        <w:pageBreakBefore w:val="0"/>
        <w:widowControl w:val="0"/>
        <w:kinsoku/>
        <w:wordWrap/>
        <w:overflowPunct/>
        <w:topLinePunct w:val="0"/>
        <w:autoSpaceDE/>
        <w:autoSpaceDN/>
        <w:bidi w:val="0"/>
        <w:adjustRightInd/>
        <w:snapToGrid/>
        <w:spacing w:line="576" w:lineRule="exact"/>
        <w:ind w:right="0" w:rightChars="0"/>
        <w:textAlignment w:val="auto"/>
        <w:rPr>
          <w:rFonts w:hint="eastAsia" w:ascii="仿宋" w:hAnsi="仿宋" w:eastAsia="仿宋"/>
          <w:kern w:val="0"/>
          <w:szCs w:val="32"/>
        </w:rPr>
      </w:pPr>
      <w:r>
        <w:rPr>
          <w:rFonts w:hint="eastAsia" w:ascii="仿宋" w:hAnsi="仿宋" w:eastAsia="仿宋" w:cs="Times New Roman"/>
          <w:kern w:val="0"/>
          <w:sz w:val="32"/>
          <w:szCs w:val="32"/>
          <w:lang w:val="en-US" w:eastAsia="zh-CN" w:bidi="ar-SA"/>
        </w:rPr>
        <w:t>主任、各位副主任、各位委员：</w:t>
      </w:r>
    </w:p>
    <w:p w14:paraId="18DC0BF0">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现将全县2024年预算执行情况和2025年预算草案报告如下。</w:t>
      </w:r>
    </w:p>
    <w:p w14:paraId="1F5CC39F">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spacing w:val="-4"/>
          <w:kern w:val="0"/>
        </w:rPr>
      </w:pPr>
      <w:r>
        <w:rPr>
          <w:rFonts w:hint="eastAsia" w:ascii="仿宋" w:hAnsi="仿宋" w:eastAsia="仿宋"/>
          <w:kern w:val="0"/>
          <w:szCs w:val="32"/>
        </w:rPr>
        <w:t>2024</w:t>
      </w:r>
      <w:r>
        <w:rPr>
          <w:rFonts w:ascii="仿宋" w:hAnsi="仿宋" w:eastAsia="仿宋"/>
          <w:kern w:val="0"/>
          <w:szCs w:val="32"/>
        </w:rPr>
        <w:t>年，</w:t>
      </w:r>
      <w:r>
        <w:rPr>
          <w:rFonts w:hint="eastAsia" w:ascii="仿宋" w:hAnsi="仿宋" w:eastAsia="仿宋"/>
          <w:kern w:val="0"/>
          <w:szCs w:val="32"/>
        </w:rPr>
        <w:t>全县财政工作坚决贯彻县</w:t>
      </w:r>
      <w:r>
        <w:rPr>
          <w:rFonts w:ascii="仿宋" w:hAnsi="仿宋" w:eastAsia="仿宋"/>
          <w:kern w:val="0"/>
          <w:szCs w:val="32"/>
        </w:rPr>
        <w:t>委对财政经济工作的总体部署</w:t>
      </w:r>
      <w:r>
        <w:rPr>
          <w:rFonts w:hint="eastAsia" w:ascii="仿宋" w:hAnsi="仿宋" w:eastAsia="仿宋"/>
          <w:kern w:val="0"/>
          <w:szCs w:val="32"/>
        </w:rPr>
        <w:t>，认真落实县八</w:t>
      </w:r>
      <w:r>
        <w:rPr>
          <w:rFonts w:ascii="仿宋" w:hAnsi="仿宋" w:eastAsia="仿宋"/>
          <w:kern w:val="0"/>
          <w:szCs w:val="32"/>
        </w:rPr>
        <w:t>届人大三次会议批准的预算</w:t>
      </w:r>
      <w:r>
        <w:rPr>
          <w:rFonts w:hint="eastAsia" w:ascii="仿宋" w:hAnsi="仿宋" w:eastAsia="仿宋"/>
          <w:kern w:val="0"/>
          <w:szCs w:val="32"/>
        </w:rPr>
        <w:t>方案及执行中县人大常委会批复的调整预算</w:t>
      </w:r>
      <w:r>
        <w:rPr>
          <w:rFonts w:ascii="仿宋" w:hAnsi="仿宋" w:eastAsia="仿宋"/>
          <w:kern w:val="0"/>
          <w:szCs w:val="32"/>
        </w:rPr>
        <w:t>，确保积极财政政策提质增效，推进财政管理法治化、科学化、规范化，着力提升促进高质量发展效果，</w:t>
      </w:r>
      <w:r>
        <w:rPr>
          <w:rFonts w:hint="eastAsia" w:ascii="仿宋" w:hAnsi="仿宋" w:eastAsia="仿宋"/>
          <w:kern w:val="0"/>
          <w:szCs w:val="32"/>
        </w:rPr>
        <w:t>有效防范化解财政运行风险，</w:t>
      </w:r>
      <w:r>
        <w:rPr>
          <w:rFonts w:hint="eastAsia" w:ascii="仿宋" w:hAnsi="仿宋" w:eastAsia="仿宋"/>
          <w:spacing w:val="-4"/>
          <w:kern w:val="0"/>
        </w:rPr>
        <w:t>为实现全年经济社会发展目标打下良好基础。</w:t>
      </w:r>
    </w:p>
    <w:p w14:paraId="55E70B88">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黑体" w:hAnsi="黑体" w:eastAsia="黑体" w:cs="黑体"/>
          <w:b w:val="0"/>
          <w:bCs/>
          <w:kern w:val="0"/>
          <w:szCs w:val="32"/>
        </w:rPr>
      </w:pPr>
      <w:r>
        <w:rPr>
          <w:rFonts w:hint="eastAsia" w:ascii="黑体" w:hAnsi="黑体" w:eastAsia="黑体" w:cs="黑体"/>
          <w:b w:val="0"/>
          <w:bCs/>
          <w:kern w:val="0"/>
          <w:szCs w:val="32"/>
        </w:rPr>
        <w:t>一、2024年预算执行预计情况</w:t>
      </w:r>
    </w:p>
    <w:p w14:paraId="615A865F">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楷体" w:hAnsi="楷体" w:eastAsia="楷体" w:cs="楷体"/>
          <w:b w:val="0"/>
          <w:bCs/>
          <w:kern w:val="0"/>
          <w:szCs w:val="32"/>
        </w:rPr>
      </w:pPr>
      <w:r>
        <w:rPr>
          <w:rFonts w:hint="eastAsia" w:ascii="楷体" w:hAnsi="楷体" w:eastAsia="楷体" w:cs="楷体"/>
          <w:b w:val="0"/>
          <w:bCs/>
          <w:kern w:val="0"/>
          <w:szCs w:val="32"/>
        </w:rPr>
        <w:t>（一）一般公共预算执行预计情况。</w:t>
      </w:r>
    </w:p>
    <w:p w14:paraId="14C27870">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eastAsia" w:ascii="仿宋" w:hAnsi="仿宋" w:eastAsia="仿宋"/>
          <w:kern w:val="0"/>
          <w:szCs w:val="32"/>
        </w:rPr>
      </w:pPr>
      <w:r>
        <w:rPr>
          <w:rFonts w:hint="eastAsia" w:ascii="仿宋" w:hAnsi="仿宋" w:eastAsia="仿宋"/>
          <w:b/>
          <w:bCs/>
          <w:kern w:val="0"/>
          <w:szCs w:val="32"/>
        </w:rPr>
        <w:t>1</w:t>
      </w:r>
      <w:r>
        <w:rPr>
          <w:rFonts w:hint="eastAsia" w:ascii="仿宋" w:hAnsi="仿宋" w:eastAsia="仿宋"/>
          <w:b/>
          <w:bCs/>
          <w:kern w:val="0"/>
          <w:szCs w:val="32"/>
          <w:lang w:eastAsia="zh-CN"/>
        </w:rPr>
        <w:t>.</w:t>
      </w:r>
      <w:r>
        <w:rPr>
          <w:rFonts w:hint="eastAsia" w:ascii="仿宋" w:hAnsi="仿宋" w:eastAsia="仿宋"/>
          <w:b/>
          <w:bCs/>
          <w:kern w:val="0"/>
          <w:szCs w:val="32"/>
        </w:rPr>
        <w:t>一般公共预算收入预计完成情况。</w:t>
      </w:r>
    </w:p>
    <w:p w14:paraId="2C2F9403">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到年末，全县一般公共预算全口径收入预计完成69,200万元，完成预算的100.9%，超收600万元，同比增长4.3%，增收2,873万元，其中：税收收入完成56,200万元，完成预算的104.5%，超收2,400万元，同比增长11.4%，增收5,752万元；非税收入完成13,000万元，完成预算的87.8%，短收1,800万元，同比下降18.1%，减收2,879万元。非税收入短收的主要原因是一次性非税收入减少。</w:t>
      </w:r>
    </w:p>
    <w:p w14:paraId="71173369">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color w:val="000000"/>
          <w:kern w:val="0"/>
          <w:szCs w:val="32"/>
          <w:shd w:val="clear" w:color="auto" w:fill="FFFFFF"/>
        </w:rPr>
      </w:pPr>
      <w:r>
        <w:rPr>
          <w:rFonts w:hint="eastAsia" w:ascii="仿宋" w:hAnsi="仿宋" w:eastAsia="仿宋"/>
          <w:kern w:val="0"/>
          <w:szCs w:val="32"/>
        </w:rPr>
        <w:t>2024年，资源税、车船使用税50%上划省级财政，相应调减2023年一般公共预算地方级收入3,329万元，2024年一般公共预算地方级收入增长基数调整为37,292万元。到年末，全县一般公共预算地方级收入预计完成33,700万元，完成预算的85.1%，短收5,900万元，</w:t>
      </w:r>
      <w:r>
        <w:rPr>
          <w:rFonts w:hint="eastAsia" w:ascii="仿宋" w:hAnsi="仿宋" w:eastAsia="仿宋"/>
          <w:szCs w:val="32"/>
        </w:rPr>
        <w:t>扣除去年同期中小微企业缓税入库抬高基数、去年年中出台的减税政策翘尾减收</w:t>
      </w:r>
      <w:r>
        <w:rPr>
          <w:rFonts w:hint="eastAsia" w:ascii="仿宋" w:hAnsi="仿宋" w:eastAsia="仿宋"/>
          <w:szCs w:val="32"/>
          <w:lang w:eastAsia="zh-CN"/>
        </w:rPr>
        <w:t>，以及</w:t>
      </w:r>
      <w:r>
        <w:rPr>
          <w:rFonts w:hint="eastAsia" w:ascii="仿宋" w:hAnsi="仿宋" w:eastAsia="仿宋"/>
          <w:szCs w:val="32"/>
        </w:rPr>
        <w:t>上年一次性收入因素等特殊因素影响后，</w:t>
      </w:r>
      <w:r>
        <w:rPr>
          <w:rFonts w:hint="eastAsia" w:ascii="仿宋" w:hAnsi="仿宋" w:eastAsia="仿宋"/>
          <w:kern w:val="0"/>
          <w:szCs w:val="32"/>
        </w:rPr>
        <w:t>同口径同比增长7.1%，自然口径同比下降</w:t>
      </w:r>
      <w:r>
        <w:rPr>
          <w:rFonts w:hint="eastAsia" w:ascii="仿宋" w:hAnsi="仿宋" w:eastAsia="仿宋"/>
          <w:kern w:val="0"/>
          <w:szCs w:val="32"/>
          <w:lang w:val="en-US" w:eastAsia="zh-CN"/>
        </w:rPr>
        <w:t>9.6</w:t>
      </w:r>
      <w:r>
        <w:rPr>
          <w:rFonts w:hint="eastAsia" w:ascii="仿宋" w:hAnsi="仿宋" w:eastAsia="仿宋"/>
          <w:kern w:val="0"/>
          <w:szCs w:val="32"/>
        </w:rPr>
        <w:t>%，减收</w:t>
      </w:r>
      <w:r>
        <w:rPr>
          <w:rFonts w:hint="eastAsia" w:ascii="仿宋" w:hAnsi="仿宋" w:eastAsia="仿宋"/>
          <w:kern w:val="0"/>
          <w:szCs w:val="32"/>
          <w:lang w:val="en-US" w:eastAsia="zh-CN"/>
        </w:rPr>
        <w:t>3,592</w:t>
      </w:r>
      <w:r>
        <w:rPr>
          <w:rFonts w:hint="eastAsia" w:ascii="仿宋" w:hAnsi="仿宋" w:eastAsia="仿宋"/>
          <w:kern w:val="0"/>
          <w:szCs w:val="32"/>
        </w:rPr>
        <w:t>万元，其中：税收收入完成20,900万元，完成预算的83.9%，短收4,000万元，同比下降</w:t>
      </w:r>
      <w:r>
        <w:rPr>
          <w:rFonts w:hint="eastAsia" w:ascii="仿宋" w:hAnsi="仿宋" w:eastAsia="仿宋"/>
          <w:kern w:val="0"/>
          <w:szCs w:val="32"/>
          <w:lang w:val="en-US" w:eastAsia="zh-CN"/>
        </w:rPr>
        <w:t>3.3</w:t>
      </w:r>
      <w:r>
        <w:rPr>
          <w:rFonts w:hint="eastAsia" w:ascii="仿宋" w:hAnsi="仿宋" w:eastAsia="仿宋"/>
          <w:kern w:val="0"/>
          <w:szCs w:val="32"/>
        </w:rPr>
        <w:t>%，减收</w:t>
      </w:r>
      <w:r>
        <w:rPr>
          <w:rFonts w:hint="eastAsia" w:ascii="仿宋" w:hAnsi="仿宋" w:eastAsia="仿宋"/>
          <w:kern w:val="0"/>
          <w:szCs w:val="32"/>
          <w:lang w:val="en-US" w:eastAsia="zh-CN"/>
        </w:rPr>
        <w:t>709</w:t>
      </w:r>
      <w:r>
        <w:rPr>
          <w:rFonts w:hint="eastAsia" w:ascii="仿宋" w:hAnsi="仿宋" w:eastAsia="仿宋"/>
          <w:kern w:val="0"/>
          <w:szCs w:val="32"/>
        </w:rPr>
        <w:t>万元；非税收入完成12,800万元，完成预算的87.1%，短收1,900万元，同比下降18.4%，减收2,883万元。</w:t>
      </w:r>
      <w:r>
        <w:rPr>
          <w:rFonts w:hint="eastAsia" w:ascii="仿宋" w:hAnsi="仿宋" w:eastAsia="仿宋"/>
          <w:color w:val="000000"/>
          <w:kern w:val="0"/>
          <w:szCs w:val="32"/>
          <w:shd w:val="clear" w:color="auto" w:fill="FFFFFF"/>
        </w:rPr>
        <w:t>（详见附表一、2024年全县一般公共预算收入完成情况表）</w:t>
      </w:r>
    </w:p>
    <w:p w14:paraId="7F154DCC">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eastAsia" w:ascii="仿宋" w:hAnsi="仿宋" w:eastAsia="仿宋"/>
          <w:color w:val="000000"/>
          <w:kern w:val="0"/>
          <w:szCs w:val="32"/>
          <w:shd w:val="clear" w:color="auto" w:fill="FFFFFF"/>
        </w:rPr>
      </w:pPr>
      <w:r>
        <w:rPr>
          <w:rFonts w:hint="eastAsia" w:ascii="仿宋" w:hAnsi="仿宋" w:eastAsia="仿宋"/>
          <w:b/>
          <w:bCs/>
          <w:kern w:val="0"/>
          <w:szCs w:val="32"/>
        </w:rPr>
        <w:t>2</w:t>
      </w:r>
      <w:r>
        <w:rPr>
          <w:rFonts w:hint="eastAsia" w:ascii="仿宋" w:hAnsi="仿宋" w:eastAsia="仿宋"/>
          <w:b/>
          <w:bCs/>
          <w:kern w:val="0"/>
          <w:szCs w:val="32"/>
          <w:lang w:eastAsia="zh-CN"/>
        </w:rPr>
        <w:t>.</w:t>
      </w:r>
      <w:r>
        <w:rPr>
          <w:rFonts w:hint="eastAsia" w:ascii="仿宋" w:hAnsi="仿宋" w:eastAsia="仿宋"/>
          <w:b/>
          <w:bCs/>
          <w:kern w:val="0"/>
          <w:szCs w:val="32"/>
        </w:rPr>
        <w:t>一般公共预算支出预计完成情况。</w:t>
      </w:r>
    </w:p>
    <w:p w14:paraId="6A98E2CB">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color w:val="000000"/>
          <w:kern w:val="0"/>
          <w:szCs w:val="32"/>
          <w:shd w:val="clear" w:color="auto" w:fill="FFFFFF"/>
        </w:rPr>
      </w:pPr>
      <w:r>
        <w:rPr>
          <w:rFonts w:hint="eastAsia" w:ascii="仿宋" w:hAnsi="仿宋" w:eastAsia="仿宋"/>
          <w:kern w:val="0"/>
          <w:szCs w:val="32"/>
        </w:rPr>
        <w:t>年初人大批准2024年一般公共预算支出预算为325,200万元，执行中调整增加预算99,600万元，调入资金16,062万元，省增加补助73,591万元， 2024年一般公共预算支出调整预算为514,453万元。到年末，</w:t>
      </w:r>
      <w:r>
        <w:rPr>
          <w:rFonts w:hint="eastAsia" w:ascii="仿宋" w:hAnsi="仿宋" w:eastAsia="仿宋" w:cs="仿宋_GB2312"/>
          <w:kern w:val="0"/>
          <w:szCs w:val="32"/>
        </w:rPr>
        <w:t>全县一般公共预算支出预计完成492,300万元，完成调整预算的95.7%，同比下降1%，减支5,188万元，减支主要原因地方政府债券安排支出减少。</w:t>
      </w:r>
      <w:r>
        <w:rPr>
          <w:rFonts w:hint="eastAsia" w:ascii="仿宋" w:hAnsi="仿宋" w:eastAsia="仿宋"/>
          <w:color w:val="000000"/>
          <w:kern w:val="0"/>
          <w:szCs w:val="32"/>
          <w:shd w:val="clear" w:color="auto" w:fill="FFFFFF"/>
        </w:rPr>
        <w:t>（详见附表二、2024年一般公共预算支出完成情况表）</w:t>
      </w:r>
    </w:p>
    <w:p w14:paraId="3BBA4694">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eastAsia" w:ascii="仿宋" w:hAnsi="仿宋" w:eastAsia="仿宋"/>
          <w:color w:val="000000"/>
          <w:kern w:val="0"/>
          <w:szCs w:val="32"/>
          <w:shd w:val="clear" w:color="auto" w:fill="FFFFFF"/>
        </w:rPr>
      </w:pPr>
      <w:r>
        <w:rPr>
          <w:rFonts w:hint="eastAsia" w:ascii="仿宋" w:hAnsi="仿宋" w:eastAsia="仿宋"/>
          <w:b/>
          <w:bCs/>
          <w:kern w:val="0"/>
          <w:szCs w:val="32"/>
        </w:rPr>
        <w:t>3</w:t>
      </w:r>
      <w:r>
        <w:rPr>
          <w:rFonts w:hint="eastAsia" w:ascii="仿宋" w:hAnsi="仿宋" w:eastAsia="仿宋"/>
          <w:b/>
          <w:bCs/>
          <w:kern w:val="0"/>
          <w:szCs w:val="32"/>
          <w:lang w:eastAsia="zh-CN"/>
        </w:rPr>
        <w:t>.</w:t>
      </w:r>
      <w:r>
        <w:rPr>
          <w:rFonts w:hint="eastAsia" w:ascii="仿宋" w:hAnsi="仿宋" w:eastAsia="仿宋"/>
          <w:b/>
          <w:bCs/>
          <w:kern w:val="0"/>
          <w:szCs w:val="32"/>
        </w:rPr>
        <w:t>一般公共预算收支平衡预计情况。</w:t>
      </w:r>
    </w:p>
    <w:p w14:paraId="0A0A45B8">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到年末，预计全县一般公共预算地方级收入33,700万元，省补助收入355,390万元，债务转贷收入33,916万元，上年结余收入73,261万元，调入预算稳定调节基金23,300万元，政府性基金预算调入10,744万元，调入其他资金5,318万元，收入总计535,629万元。本年支出</w:t>
      </w:r>
      <w:r>
        <w:rPr>
          <w:rFonts w:hint="eastAsia" w:ascii="仿宋" w:hAnsi="仿宋" w:eastAsia="仿宋" w:cs="仿宋_GB2312"/>
          <w:kern w:val="0"/>
          <w:szCs w:val="32"/>
        </w:rPr>
        <w:t>492,300</w:t>
      </w:r>
      <w:r>
        <w:rPr>
          <w:rFonts w:hint="eastAsia" w:ascii="仿宋" w:hAnsi="仿宋" w:eastAsia="仿宋"/>
          <w:kern w:val="0"/>
          <w:szCs w:val="32"/>
        </w:rPr>
        <w:t>万元，上解支出6,656万元，债务还本支出14,520万元，支出总计513,476万元，预留结余22,153万元用于结转下年支出，实现了收支平衡。</w:t>
      </w:r>
    </w:p>
    <w:p w14:paraId="75E6CE13">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楷体" w:hAnsi="楷体" w:eastAsia="楷体" w:cs="楷体"/>
          <w:b w:val="0"/>
          <w:bCs/>
          <w:kern w:val="0"/>
          <w:szCs w:val="32"/>
        </w:rPr>
      </w:pPr>
      <w:r>
        <w:rPr>
          <w:rFonts w:hint="eastAsia" w:ascii="楷体" w:hAnsi="楷体" w:eastAsia="楷体" w:cs="楷体"/>
          <w:b w:val="0"/>
          <w:bCs/>
          <w:kern w:val="0"/>
          <w:szCs w:val="32"/>
        </w:rPr>
        <w:t>（二）政府性基金预算执行预计情况。</w:t>
      </w:r>
    </w:p>
    <w:p w14:paraId="0BE10F10">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到年末，政府性基金收入预计完成37,000万元，省补助收入37,766万元，上年结余收入12,155万元，债务转贷收入65,600万元，收入总计152,521万元。本年支出预计完成72,547万元，债务还本支出33,400万元，调出资金11,456万元，支出总计117,403万元，预留结余35,118万元用于结转下年支出，实现收支平衡。</w:t>
      </w:r>
      <w:r>
        <w:rPr>
          <w:rFonts w:hint="eastAsia" w:ascii="仿宋" w:hAnsi="仿宋" w:eastAsia="仿宋"/>
          <w:color w:val="000000"/>
          <w:kern w:val="0"/>
          <w:szCs w:val="32"/>
          <w:shd w:val="clear" w:color="auto" w:fill="FFFFFF"/>
        </w:rPr>
        <w:t>（详见附表三、2024年政府性基金预算收支完成情况表）</w:t>
      </w:r>
    </w:p>
    <w:p w14:paraId="37ED93C8">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楷体" w:hAnsi="楷体" w:eastAsia="楷体" w:cs="楷体"/>
          <w:b w:val="0"/>
          <w:bCs/>
          <w:kern w:val="0"/>
          <w:szCs w:val="32"/>
        </w:rPr>
      </w:pPr>
      <w:r>
        <w:rPr>
          <w:rFonts w:hint="eastAsia" w:ascii="楷体" w:hAnsi="楷体" w:eastAsia="楷体" w:cs="楷体"/>
          <w:b w:val="0"/>
          <w:bCs/>
          <w:kern w:val="0"/>
          <w:szCs w:val="32"/>
        </w:rPr>
        <w:t>（三）社会保险基金预算执行预计情况。</w:t>
      </w:r>
    </w:p>
    <w:p w14:paraId="1248FF41">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到年末，社保基金预算收入预计完成66,408万元，上年滚存结余29,838万元</w:t>
      </w:r>
      <w:r>
        <w:rPr>
          <w:rFonts w:hint="eastAsia" w:ascii="仿宋" w:hAnsi="仿宋" w:eastAsia="仿宋"/>
          <w:kern w:val="0"/>
          <w:szCs w:val="32"/>
          <w:lang w:eastAsia="zh-CN"/>
        </w:rPr>
        <w:t>，</w:t>
      </w:r>
      <w:r>
        <w:rPr>
          <w:rFonts w:hint="eastAsia" w:ascii="仿宋" w:hAnsi="仿宋" w:eastAsia="仿宋"/>
          <w:kern w:val="0"/>
          <w:szCs w:val="32"/>
        </w:rPr>
        <w:t>支出预计完成68,278万元，本年收支结余-1,870万元，年末滚存结余27,968万元，实现收支平衡。</w:t>
      </w:r>
      <w:r>
        <w:rPr>
          <w:rFonts w:hint="eastAsia" w:ascii="仿宋" w:hAnsi="仿宋" w:eastAsia="仿宋"/>
          <w:color w:val="000000"/>
          <w:kern w:val="0"/>
          <w:szCs w:val="32"/>
          <w:shd w:val="clear" w:color="auto" w:fill="FFFFFF"/>
        </w:rPr>
        <w:t>（详见附表四、2024年社会保险基金预算收支情况表）</w:t>
      </w:r>
    </w:p>
    <w:p w14:paraId="03C8C50F">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楷体" w:hAnsi="楷体" w:eastAsia="楷体" w:cs="楷体"/>
          <w:b w:val="0"/>
          <w:bCs/>
          <w:kern w:val="0"/>
          <w:szCs w:val="32"/>
        </w:rPr>
      </w:pPr>
      <w:r>
        <w:rPr>
          <w:rFonts w:hint="eastAsia" w:ascii="楷体" w:hAnsi="楷体" w:eastAsia="楷体" w:cs="楷体"/>
          <w:b w:val="0"/>
          <w:bCs/>
          <w:kern w:val="0"/>
          <w:szCs w:val="32"/>
        </w:rPr>
        <w:t>（四）部门收支预算执行预计情况。</w:t>
      </w:r>
    </w:p>
    <w:p w14:paraId="4DFCC508">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color w:val="000000"/>
          <w:kern w:val="0"/>
          <w:szCs w:val="32"/>
          <w:shd w:val="clear" w:color="auto" w:fill="FFFFFF"/>
        </w:rPr>
      </w:pPr>
      <w:r>
        <w:rPr>
          <w:rFonts w:hint="eastAsia" w:ascii="仿宋" w:hAnsi="仿宋" w:eastAsia="仿宋"/>
          <w:kern w:val="0"/>
          <w:szCs w:val="32"/>
        </w:rPr>
        <w:t>到年末，部门预算收入预计完成602,663万元，完成预算的100%，上年结余收入16,957万元，收入总计619,620万元。本年支出预计完成601,702万元，预留结余17,918万元用于结转下年支出，实现收支平衡。</w:t>
      </w:r>
      <w:r>
        <w:rPr>
          <w:rFonts w:hint="eastAsia" w:ascii="仿宋" w:hAnsi="仿宋" w:eastAsia="仿宋"/>
          <w:color w:val="000000"/>
          <w:kern w:val="0"/>
          <w:szCs w:val="32"/>
          <w:shd w:val="clear" w:color="auto" w:fill="FFFFFF"/>
        </w:rPr>
        <w:t>（详见附表五、2024年部门预算收支完成情况表）</w:t>
      </w:r>
    </w:p>
    <w:p w14:paraId="7CA62A0A">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楷体" w:hAnsi="楷体" w:eastAsia="楷体" w:cs="楷体"/>
          <w:b w:val="0"/>
          <w:bCs/>
          <w:kern w:val="0"/>
          <w:szCs w:val="32"/>
        </w:rPr>
      </w:pPr>
      <w:r>
        <w:rPr>
          <w:rFonts w:hint="eastAsia" w:ascii="楷体" w:hAnsi="楷体" w:eastAsia="楷体" w:cs="楷体"/>
          <w:b w:val="0"/>
          <w:bCs/>
          <w:kern w:val="0"/>
          <w:szCs w:val="32"/>
        </w:rPr>
        <w:t>（五）政府债务收支情况。</w:t>
      </w:r>
    </w:p>
    <w:p w14:paraId="74CDE70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cs="仿宋"/>
          <w:sz w:val="32"/>
          <w:szCs w:val="32"/>
        </w:rPr>
      </w:pPr>
      <w:r>
        <w:rPr>
          <w:rFonts w:hint="eastAsia" w:ascii="仿宋" w:hAnsi="仿宋" w:eastAsia="仿宋"/>
          <w:sz w:val="32"/>
          <w:szCs w:val="32"/>
          <w:highlight w:val="none"/>
        </w:rPr>
        <w:t>2024年</w:t>
      </w:r>
      <w:r>
        <w:rPr>
          <w:rFonts w:hint="eastAsia" w:ascii="仿宋" w:hAnsi="仿宋" w:eastAsia="仿宋"/>
          <w:sz w:val="32"/>
          <w:szCs w:val="32"/>
          <w:highlight w:val="none"/>
          <w:lang w:eastAsia="zh-CN"/>
        </w:rPr>
        <w:t>，</w:t>
      </w:r>
      <w:r>
        <w:rPr>
          <w:rFonts w:hint="eastAsia" w:ascii="仿宋" w:hAnsi="仿宋" w:eastAsia="仿宋"/>
          <w:sz w:val="32"/>
          <w:szCs w:val="32"/>
          <w:highlight w:val="none"/>
        </w:rPr>
        <w:t>省核定</w:t>
      </w:r>
      <w:r>
        <w:rPr>
          <w:rFonts w:hint="eastAsia" w:ascii="仿宋" w:hAnsi="仿宋" w:eastAsia="仿宋" w:cs="仿宋"/>
          <w:sz w:val="32"/>
          <w:szCs w:val="32"/>
          <w:highlight w:val="none"/>
        </w:rPr>
        <w:t>我县地方政府债务限额为82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,836万元，其中：一般债505,314万元，专项债317,522万元。</w:t>
      </w:r>
      <w:r>
        <w:rPr>
          <w:rFonts w:hint="eastAsia" w:ascii="仿宋" w:hAnsi="仿宋" w:eastAsia="仿宋"/>
          <w:sz w:val="32"/>
          <w:szCs w:val="32"/>
          <w:highlight w:val="none"/>
        </w:rPr>
        <w:t>2023年</w:t>
      </w:r>
      <w:r>
        <w:rPr>
          <w:rFonts w:hint="eastAsia" w:ascii="仿宋" w:hAnsi="仿宋" w:eastAsia="仿宋"/>
          <w:sz w:val="32"/>
          <w:szCs w:val="32"/>
        </w:rPr>
        <w:t>年末，我县地方政府债务余额为761,692万元，其中：一般债务余额为485,771万元，专项债务余额为275,921万元。</w:t>
      </w:r>
      <w:r>
        <w:rPr>
          <w:rFonts w:hint="eastAsia" w:ascii="仿宋" w:hAnsi="仿宋" w:eastAsia="仿宋" w:cs="仿宋"/>
          <w:sz w:val="32"/>
          <w:szCs w:val="32"/>
        </w:rPr>
        <w:t>2024年，新增地方政府债务53,116万元，其中：新增一般债务20,916万元，新增专项债务32,200万元。2024年，再融资偿还到期债务43,000万元，其中：一般债务13,000万元，专项债务30,000万元；县级财力偿还到期债务1,520万元，其中：一般债务1,520万元。2024年，发行专项债券置换其他债务9,400万元。到年末，预计我县地方政府债务余额822,688万元，其中：一般债务余额为505,167万元，专项债务余额为317,521万元。</w:t>
      </w:r>
    </w:p>
    <w:p w14:paraId="608EDFE7">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黑体" w:hAnsi="黑体" w:eastAsia="黑体" w:cs="黑体"/>
          <w:b w:val="0"/>
          <w:bCs/>
          <w:kern w:val="0"/>
          <w:szCs w:val="32"/>
        </w:rPr>
      </w:pPr>
      <w:r>
        <w:rPr>
          <w:rFonts w:hint="eastAsia" w:ascii="黑体" w:hAnsi="黑体" w:eastAsia="黑体" w:cs="黑体"/>
          <w:b w:val="0"/>
          <w:bCs/>
          <w:kern w:val="0"/>
          <w:szCs w:val="32"/>
        </w:rPr>
        <w:t>二、2024年重点工作</w:t>
      </w:r>
    </w:p>
    <w:p w14:paraId="3700C0EA">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04" w:firstLineChars="220"/>
        <w:textAlignment w:val="auto"/>
        <w:rPr>
          <w:rFonts w:hint="eastAsia" w:ascii="仿宋" w:hAnsi="仿宋" w:eastAsia="仿宋"/>
          <w:sz w:val="32"/>
          <w:szCs w:val="32"/>
        </w:rPr>
      </w:pPr>
      <w:r>
        <w:rPr>
          <w:rFonts w:hint="eastAsia" w:ascii="楷体" w:hAnsi="楷体" w:eastAsia="楷体" w:cs="楷体"/>
          <w:b w:val="0"/>
          <w:bCs/>
          <w:sz w:val="32"/>
          <w:szCs w:val="32"/>
        </w:rPr>
        <w:t>（一）全力挖掘增收潜力</w:t>
      </w:r>
      <w:r>
        <w:rPr>
          <w:rFonts w:hint="eastAsia" w:ascii="楷体" w:hAnsi="楷体" w:eastAsia="楷体"/>
          <w:b w:val="0"/>
          <w:bCs/>
          <w:sz w:val="32"/>
          <w:szCs w:val="32"/>
        </w:rPr>
        <w:t>，拉动财政收入实现增长。</w:t>
      </w:r>
      <w:bookmarkStart w:id="0" w:name="_GoBack"/>
      <w:r>
        <w:rPr>
          <w:rFonts w:hint="eastAsia" w:ascii="仿宋" w:hAnsi="仿宋" w:eastAsia="仿宋"/>
          <w:kern w:val="0"/>
          <w:sz w:val="32"/>
          <w:szCs w:val="32"/>
        </w:rPr>
        <w:t>针对财政收入增长困难因素，全力挖掘增收潜力，在做好经常性税收征缴的基础上，大力清缴欠税，2024年清理欠税拉动全口径税收增长12个百分点，拉动地方级税收增长8.7个百分点。加快政府投资项目进度，及时支付结算工程款项，前11个月建筑业税收同比增长21.5%</w:t>
      </w:r>
      <w:r>
        <w:rPr>
          <w:rFonts w:hint="eastAsia" w:ascii="仿宋" w:hAnsi="仿宋" w:eastAsia="仿宋"/>
          <w:sz w:val="32"/>
          <w:szCs w:val="32"/>
        </w:rPr>
        <w:t>；规范国有资产管理，盘活闲置国有资源资产资源，处置收入及时缴入国库。</w:t>
      </w:r>
    </w:p>
    <w:bookmarkEnd w:id="0"/>
    <w:p w14:paraId="3B41DF0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cs="楷体"/>
          <w:sz w:val="32"/>
          <w:szCs w:val="32"/>
        </w:rPr>
      </w:pPr>
      <w:r>
        <w:rPr>
          <w:rFonts w:hint="eastAsia" w:ascii="楷体" w:hAnsi="楷体" w:eastAsia="楷体" w:cs="楷体"/>
          <w:b w:val="0"/>
          <w:bCs/>
          <w:sz w:val="32"/>
          <w:szCs w:val="32"/>
        </w:rPr>
        <w:t>（二）不断优化支出结构，各项重点支出得到有效保障。</w:t>
      </w:r>
      <w:r>
        <w:rPr>
          <w:rFonts w:hint="eastAsia" w:ascii="仿宋" w:hAnsi="仿宋" w:eastAsia="仿宋" w:cs="楷体"/>
          <w:sz w:val="32"/>
          <w:szCs w:val="32"/>
        </w:rPr>
        <w:t>坚持党政机关习惯过紧日子，落实好国家和省过紧日子节约支出的相关规定。持续加强“三公”经费管理，在预算安排及执行只减不增。严格控制一般项目支出，减少非重点、非刚性项目支出，切实落实“三保”保障主体责任，坚持“三保”支出在财政支出的优先顺序，及时足额拨付“三保”资金。加强资金统筹，增加重点民生领域投入，补齐民生短板。</w:t>
      </w:r>
    </w:p>
    <w:p w14:paraId="72735B4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cs="楷体"/>
          <w:sz w:val="32"/>
          <w:szCs w:val="32"/>
          <w:lang w:eastAsia="zh-CN"/>
        </w:rPr>
      </w:pPr>
      <w:r>
        <w:rPr>
          <w:rFonts w:hint="eastAsia" w:ascii="楷体" w:hAnsi="楷体" w:eastAsia="楷体" w:cs="楷体"/>
          <w:b w:val="0"/>
          <w:bCs/>
          <w:sz w:val="32"/>
          <w:szCs w:val="32"/>
        </w:rPr>
        <w:t>（三）加强地方政府债务资金管理，提高资金使用效益。</w:t>
      </w:r>
      <w:r>
        <w:rPr>
          <w:rFonts w:hint="eastAsia" w:ascii="仿宋" w:hAnsi="仿宋" w:eastAsia="仿宋" w:cs="楷体"/>
          <w:sz w:val="32"/>
          <w:szCs w:val="32"/>
        </w:rPr>
        <w:t>建立健全新增地方政府债券项目需求申报协调机制，财政、发改部门建立健全债券项目联审机制，对项目需求实行共同审核。坚持按照“指标跟着项目走、资金跟着工程进度走”的原则，压实主管部门和项目单位主体责任，不断推进建设进度，加快资金拨付，坚持按照工程进度申请、拨付下达资金，截</w:t>
      </w:r>
      <w:r>
        <w:rPr>
          <w:rFonts w:hint="eastAsia" w:ascii="仿宋" w:hAnsi="仿宋" w:eastAsia="仿宋" w:cs="楷体"/>
          <w:sz w:val="32"/>
          <w:szCs w:val="32"/>
          <w:lang w:eastAsia="zh-CN"/>
        </w:rPr>
        <w:t>至</w:t>
      </w:r>
      <w:r>
        <w:rPr>
          <w:rFonts w:hint="eastAsia" w:ascii="仿宋" w:hAnsi="仿宋" w:eastAsia="仿宋" w:cs="楷体"/>
          <w:sz w:val="32"/>
          <w:szCs w:val="32"/>
        </w:rPr>
        <w:t>12月初，今年发行专项债券资金全部使用完毕</w:t>
      </w:r>
      <w:r>
        <w:rPr>
          <w:rFonts w:hint="eastAsia" w:ascii="仿宋" w:hAnsi="仿宋" w:eastAsia="仿宋" w:cs="楷体"/>
          <w:sz w:val="32"/>
          <w:szCs w:val="32"/>
          <w:lang w:eastAsia="zh-CN"/>
        </w:rPr>
        <w:t>。</w:t>
      </w:r>
    </w:p>
    <w:p w14:paraId="7B3D7D32">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716" w:firstLineChars="224"/>
        <w:textAlignment w:val="auto"/>
        <w:rPr>
          <w:rFonts w:hint="eastAsia" w:ascii="仿宋" w:hAnsi="仿宋" w:eastAsia="仿宋"/>
          <w:sz w:val="32"/>
          <w:szCs w:val="32"/>
        </w:rPr>
      </w:pPr>
      <w:r>
        <w:rPr>
          <w:rFonts w:hint="eastAsia" w:ascii="楷体" w:hAnsi="楷体" w:eastAsia="楷体" w:cs="楷体"/>
          <w:b w:val="0"/>
          <w:bCs/>
          <w:sz w:val="32"/>
          <w:szCs w:val="32"/>
        </w:rPr>
        <w:t>（四）加强财政运行监管，财政管理水平提高。</w:t>
      </w:r>
      <w:r>
        <w:rPr>
          <w:rFonts w:hint="eastAsia" w:ascii="仿宋" w:hAnsi="仿宋" w:eastAsia="仿宋"/>
          <w:spacing w:val="-4"/>
          <w:kern w:val="0"/>
          <w:sz w:val="32"/>
          <w:szCs w:val="32"/>
        </w:rPr>
        <w:t>依托预算管理一体化系统，强化财政运行评估和日常监管，加强“三保”监测预警，妥善处置发现的问题。强化库款调度，优化资金调配，确保“三保”等重点领域和重要时点支出需要，防范潜在支付风险隐患。加大财会监督力度，积极履行财政部门财会监督主责，针对当前财经领域的突出问题和薄弱环节，深入开展财会监督工作。</w:t>
      </w:r>
    </w:p>
    <w:p w14:paraId="133CD19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33" w:firstLineChars="198"/>
        <w:textAlignment w:val="auto"/>
        <w:rPr>
          <w:rFonts w:hint="eastAsia" w:ascii="仿宋" w:hAnsi="仿宋" w:eastAsia="仿宋"/>
          <w:kern w:val="0"/>
          <w:sz w:val="32"/>
          <w:szCs w:val="32"/>
          <w:shd w:val="clear" w:color="auto" w:fill="FFFFFF"/>
        </w:rPr>
      </w:pPr>
      <w:r>
        <w:rPr>
          <w:rFonts w:hint="eastAsia" w:ascii="仿宋" w:hAnsi="仿宋" w:eastAsia="仿宋"/>
          <w:kern w:val="0"/>
          <w:sz w:val="32"/>
          <w:szCs w:val="32"/>
        </w:rPr>
        <w:t>各位代表，2024年财政面临的形势十分严峻，减收因素增多，重点刚性支出需求持续增大，财政收支矛盾异常突出。</w:t>
      </w:r>
      <w:r>
        <w:rPr>
          <w:rFonts w:hint="eastAsia" w:ascii="仿宋" w:hAnsi="仿宋" w:eastAsia="仿宋"/>
          <w:kern w:val="0"/>
          <w:sz w:val="32"/>
          <w:szCs w:val="32"/>
          <w:shd w:val="clear" w:color="auto" w:fill="FFFFFF"/>
        </w:rPr>
        <w:t>对此，在新年度我们要进一步加大工作力度，采取有效措施，着力化解财政运行中存在的困难和问题。</w:t>
      </w:r>
    </w:p>
    <w:p w14:paraId="3F49A509">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黑体" w:hAnsi="黑体" w:eastAsia="黑体" w:cs="黑体"/>
          <w:b w:val="0"/>
          <w:bCs/>
          <w:color w:val="000000"/>
          <w:kern w:val="0"/>
          <w:szCs w:val="32"/>
          <w:shd w:val="clear" w:color="auto" w:fill="FFFFFF"/>
        </w:rPr>
      </w:pPr>
      <w:r>
        <w:rPr>
          <w:rFonts w:hint="eastAsia" w:ascii="黑体" w:hAnsi="黑体" w:eastAsia="黑体" w:cs="黑体"/>
          <w:b w:val="0"/>
          <w:bCs/>
          <w:color w:val="000000"/>
          <w:kern w:val="0"/>
          <w:szCs w:val="32"/>
          <w:shd w:val="clear" w:color="auto" w:fill="FFFFFF"/>
        </w:rPr>
        <w:t>三、2025年全县预算草案</w:t>
      </w:r>
    </w:p>
    <w:p w14:paraId="0A1C7C17">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24" w:firstLineChars="200"/>
        <w:textAlignment w:val="auto"/>
        <w:rPr>
          <w:rFonts w:hint="eastAsia" w:ascii="仿宋" w:hAnsi="仿宋" w:eastAsia="仿宋"/>
          <w:spacing w:val="-4"/>
          <w:kern w:val="0"/>
          <w:szCs w:val="32"/>
        </w:rPr>
      </w:pPr>
      <w:r>
        <w:rPr>
          <w:rFonts w:hint="eastAsia" w:ascii="仿宋" w:hAnsi="仿宋" w:eastAsia="仿宋"/>
          <w:spacing w:val="-4"/>
          <w:kern w:val="0"/>
          <w:szCs w:val="32"/>
        </w:rPr>
        <w:t>根据县委对财政工作的总体部署和要求，2025年全县财政工作的指导思想是：坚持以习近平新时代中国特色社会主义思想为指导，全面贯彻落实党的二十届三中全会精神，</w:t>
      </w:r>
      <w:r>
        <w:rPr>
          <w:rFonts w:hint="eastAsia" w:ascii="仿宋" w:hAnsi="仿宋" w:eastAsia="仿宋"/>
          <w:spacing w:val="-4"/>
          <w:kern w:val="0"/>
        </w:rPr>
        <w:t>紧紧围绕县第八次党代会确定的发展目标，紧扣县第八次党代会部署的核心工作任务，深化零基预算改革，提高预算管理统一性、规范性；坚持以人民为中心，继续加大保障和改善民生力度，持续</w:t>
      </w:r>
      <w:r>
        <w:rPr>
          <w:rFonts w:hint="eastAsia" w:ascii="仿宋" w:hAnsi="仿宋" w:eastAsia="仿宋"/>
          <w:spacing w:val="-4"/>
          <w:kern w:val="0"/>
          <w:lang w:eastAsia="zh-CN"/>
        </w:rPr>
        <w:t>增进人民福祉</w:t>
      </w:r>
      <w:r>
        <w:rPr>
          <w:rFonts w:hint="eastAsia" w:ascii="仿宋" w:hAnsi="仿宋" w:eastAsia="仿宋"/>
          <w:spacing w:val="-4"/>
          <w:kern w:val="0"/>
        </w:rPr>
        <w:t>；优化财政支出结构，严控一般支出，强化重点刚性支出财力保障。</w:t>
      </w:r>
      <w:r>
        <w:rPr>
          <w:rFonts w:hint="eastAsia" w:ascii="仿宋" w:hAnsi="仿宋" w:eastAsia="仿宋" w:cs="Tahoma"/>
          <w:spacing w:val="-4"/>
          <w:kern w:val="0"/>
          <w:szCs w:val="32"/>
        </w:rPr>
        <w:t>按照上述指导思想，</w:t>
      </w:r>
      <w:r>
        <w:rPr>
          <w:rFonts w:hint="eastAsia" w:ascii="仿宋" w:hAnsi="仿宋" w:eastAsia="仿宋"/>
          <w:spacing w:val="-4"/>
          <w:kern w:val="0"/>
          <w:szCs w:val="32"/>
        </w:rPr>
        <w:t>对2025年一般公共预算、政府性基金预算、社会保险基金预算和部门预算安排如下：</w:t>
      </w:r>
    </w:p>
    <w:p w14:paraId="7463A385">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楷体" w:hAnsi="楷体" w:eastAsia="楷体" w:cs="楷体_GB2312"/>
          <w:b w:val="0"/>
          <w:bCs/>
          <w:kern w:val="0"/>
          <w:szCs w:val="32"/>
        </w:rPr>
      </w:pPr>
      <w:r>
        <w:rPr>
          <w:rFonts w:hint="eastAsia" w:ascii="楷体" w:hAnsi="楷体" w:eastAsia="楷体" w:cs="楷体_GB2312"/>
          <w:b w:val="0"/>
          <w:bCs/>
          <w:kern w:val="0"/>
          <w:szCs w:val="32"/>
        </w:rPr>
        <w:t>（一）一般公共预算收支安排。</w:t>
      </w:r>
    </w:p>
    <w:p w14:paraId="23B9AD29">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eastAsia" w:ascii="仿宋" w:hAnsi="仿宋" w:eastAsia="仿宋" w:cs="Times New Roman"/>
          <w:b/>
          <w:bCs/>
          <w:kern w:val="0"/>
          <w:szCs w:val="32"/>
        </w:rPr>
      </w:pPr>
      <w:r>
        <w:rPr>
          <w:rFonts w:hint="eastAsia" w:ascii="仿宋" w:hAnsi="仿宋" w:eastAsia="仿宋" w:cs="Times New Roman"/>
          <w:b/>
          <w:bCs/>
          <w:kern w:val="0"/>
          <w:szCs w:val="32"/>
        </w:rPr>
        <w:t>1</w:t>
      </w:r>
      <w:r>
        <w:rPr>
          <w:rFonts w:hint="eastAsia" w:ascii="仿宋" w:hAnsi="仿宋" w:eastAsia="仿宋" w:cs="Times New Roman"/>
          <w:b/>
          <w:bCs/>
          <w:kern w:val="0"/>
          <w:szCs w:val="32"/>
          <w:lang w:eastAsia="zh-CN"/>
        </w:rPr>
        <w:t>.</w:t>
      </w:r>
      <w:r>
        <w:rPr>
          <w:rFonts w:hint="eastAsia" w:ascii="仿宋" w:hAnsi="仿宋" w:eastAsia="仿宋" w:cs="Times New Roman"/>
          <w:b/>
          <w:bCs/>
          <w:kern w:val="0"/>
          <w:szCs w:val="32"/>
        </w:rPr>
        <w:t>一般公共预算收入。</w:t>
      </w:r>
    </w:p>
    <w:p w14:paraId="11B4B192">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2025年，全县一般公共预算全口径收入计划69,200万元，比上年实际完成持平，扣除上年收入一次性因素，同口径比上年实际增长15.3%，其中：税收收入57,300万元，比上年实际增长2%，扣除上年收入一次性因素，同口径比上年实际增长13.9%；非税收入11,900万元，比上年实际下降8.5%，扣除上年收入一次性因素，同口径比上年实际增长22.7%，占收入总额的17.2%。一般公共预算地方级收入计划32,800万元，比上年实际下降2.7%，扣除上年收入一次性因素，同口径比上年实际增长15.1%，其中：税收收入21,000万元，与上年实际基本持平，扣除上年收入一次性因素，同口径比上年实际增长10.5%；非税收入11,800万元，比上年实际下降7.8%，占收入总额的36%。收入计划安排主要是根据2024年收入情况、落实国家减税降费政策、地方税源建设情况以及规范政府收入预算管理要求等。（详见附表六、2025年一般公共收入预算表）</w:t>
      </w:r>
    </w:p>
    <w:p w14:paraId="586D2733">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eastAsia" w:ascii="仿宋" w:hAnsi="仿宋" w:eastAsia="仿宋" w:cs="Times New Roman"/>
          <w:b/>
          <w:bCs/>
          <w:kern w:val="0"/>
          <w:szCs w:val="32"/>
        </w:rPr>
      </w:pPr>
      <w:r>
        <w:rPr>
          <w:rFonts w:hint="eastAsia" w:ascii="仿宋" w:hAnsi="仿宋" w:eastAsia="仿宋" w:cs="Times New Roman"/>
          <w:b/>
          <w:bCs/>
          <w:kern w:val="0"/>
          <w:szCs w:val="32"/>
        </w:rPr>
        <w:t>2</w:t>
      </w:r>
      <w:r>
        <w:rPr>
          <w:rFonts w:hint="eastAsia" w:ascii="仿宋" w:hAnsi="仿宋" w:eastAsia="仿宋" w:cs="Times New Roman"/>
          <w:b/>
          <w:bCs/>
          <w:kern w:val="0"/>
          <w:szCs w:val="32"/>
          <w:lang w:eastAsia="zh-CN"/>
        </w:rPr>
        <w:t>.</w:t>
      </w:r>
      <w:r>
        <w:rPr>
          <w:rFonts w:hint="eastAsia" w:ascii="仿宋" w:hAnsi="仿宋" w:eastAsia="仿宋" w:cs="Times New Roman"/>
          <w:b/>
          <w:bCs/>
          <w:kern w:val="0"/>
          <w:szCs w:val="32"/>
        </w:rPr>
        <w:t>一般公共预算支出。</w:t>
      </w:r>
    </w:p>
    <w:p w14:paraId="4B2911EF">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按照党中央二十届三中全会深化零基预算改革任务，2025年吉林省省级将全面铺开深化零基预算改革，将打破支出基数，按照实际需求测算支出。目前已经完成省、市、县2025年重点刚性支出需求审核，但尚未确定重点刚性支出省级兜底保障范围和标准，财政补助政策及各项转移支付指标尚未下达。在省重点刚性支出兜底保障政策尚未出台的情况下，根据省审核通过的重点刚性支出项目及当年支出需求，安排2025年一般公共预算支出计划，待省级明确兜底保障范围和标准后，按照省级兜底保障范围和标准，根据县级实际财力状况及省实际下达共同事权、专项转移支付指标，调整支出预算。按照各项重点支出当年需求，2025年，全县一般公共预算财政支出计划474,600万元，比上年计划增长45.9%。各项重点支出安排如下：</w:t>
      </w:r>
    </w:p>
    <w:p w14:paraId="3650EABD">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（1）教育支出62,058万元，比上年计划下降18.9%，下降的主要原因是省尚未下达教育共同事权及专项转移支付指标，减少11，756万元，教育职工退休减少工资支出2,661万元。</w:t>
      </w:r>
    </w:p>
    <w:p w14:paraId="46CC2165">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（2）科学技术支出166万元，比上年计划增长21.2%，增长的主要原因是暂按审核通过标准安排公用经费。</w:t>
      </w:r>
    </w:p>
    <w:p w14:paraId="1372A699">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（3）文化体育与传媒支出2,485万元，比上年计划下降32.8%，下降的主要原因是省尚未下达文化体育与传媒共同事权及专项转移支付指标，减少1,417万元。</w:t>
      </w:r>
    </w:p>
    <w:p w14:paraId="101DC4F6">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4）社会保障和就业支出104,051万元，比上年计划增长69.2%，增长的主要原因是机关事业单位养老保险缺口纳入年初预算，增加22,717万元；安置委培生、就业、优抚、退役安置、最低生活保障、临时救助、特困人员供养、财政对基本养老金补助等及其他社会保障支出，按照全年实际需要全额纳入年初预算，增加19,825万元（2024年按照省提前下达指标安排）。</w:t>
      </w:r>
    </w:p>
    <w:p w14:paraId="59FD34E2">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（5）卫生健康支出40,986万元，比上年计划增长33.4%，增长的主要原因是各项卫生健康支出按照实际需求安排年初预算，增加10,267万元。</w:t>
      </w:r>
    </w:p>
    <w:p w14:paraId="372D436C">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（6）节能环保支出3,137万元，比上年计划增长59.5%，增长的主要原因是乡镇生活污水处理费纳入年初预算，增加1,540万元。</w:t>
      </w:r>
    </w:p>
    <w:p w14:paraId="780BC0CF">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（7）农林水支出70,378万元，比上年计划增长10.7%，增长的主要原因是各项农林水支出按照实际需求纳入年初预算，增加1,170万元。</w:t>
      </w:r>
    </w:p>
    <w:p w14:paraId="69EFADE0">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（8）住房保障支出12,237万元，比上年计划下降6.5%，下降的主要原因是在职转退休</w:t>
      </w:r>
      <w:r>
        <w:rPr>
          <w:rFonts w:hint="eastAsia" w:ascii="仿宋" w:hAnsi="仿宋" w:eastAsia="仿宋"/>
          <w:kern w:val="0"/>
          <w:szCs w:val="32"/>
          <w:lang w:eastAsia="zh-CN"/>
        </w:rPr>
        <w:t>，</w:t>
      </w:r>
      <w:r>
        <w:rPr>
          <w:rFonts w:hint="eastAsia" w:ascii="仿宋" w:hAnsi="仿宋" w:eastAsia="仿宋"/>
          <w:kern w:val="0"/>
          <w:szCs w:val="32"/>
        </w:rPr>
        <w:t>缴费基数减少。</w:t>
      </w:r>
    </w:p>
    <w:p w14:paraId="4B98A710">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2025年，全县一般公共预算收入总计为497,105万元，其中：一般公共预算地方级收入为32,800万元，需要上级补助收入为442,152万元，上年结转收入22,153万元。全县一般公共预算支出总计为497,105万元，收支平衡，其中：一般公共预算支出474,600万元，上解支出6,656万元，债务还本支出4,390万元</w:t>
      </w:r>
      <w:r>
        <w:rPr>
          <w:rFonts w:hint="eastAsia" w:ascii="仿宋" w:hAnsi="仿宋" w:eastAsia="仿宋"/>
          <w:kern w:val="0"/>
          <w:szCs w:val="32"/>
          <w:lang w:eastAsia="zh-CN"/>
        </w:rPr>
        <w:t>，</w:t>
      </w:r>
      <w:r>
        <w:rPr>
          <w:rFonts w:hint="eastAsia" w:ascii="仿宋" w:hAnsi="仿宋" w:eastAsia="仿宋"/>
          <w:kern w:val="0"/>
          <w:szCs w:val="32"/>
        </w:rPr>
        <w:t>调出资金11,459万元。（详见附表七、2025年一般公共预算支出预算表）</w:t>
      </w:r>
    </w:p>
    <w:p w14:paraId="109C33A8">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楷体" w:hAnsi="楷体" w:eastAsia="楷体" w:cs="楷体_GB2312"/>
          <w:b w:val="0"/>
          <w:bCs/>
          <w:kern w:val="0"/>
          <w:szCs w:val="32"/>
        </w:rPr>
      </w:pPr>
      <w:r>
        <w:rPr>
          <w:rFonts w:hint="eastAsia" w:ascii="楷体" w:hAnsi="楷体" w:eastAsia="楷体" w:cs="楷体_GB2312"/>
          <w:b w:val="0"/>
          <w:bCs/>
          <w:kern w:val="0"/>
          <w:szCs w:val="32"/>
        </w:rPr>
        <w:t>（二）政府性基金预算收支安排。</w:t>
      </w:r>
    </w:p>
    <w:p w14:paraId="2E7FDEE0">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2025年，政府性基金收入计划7,670万元，上年结余35,118万元，调入资金11,459万元，政府性基金预算收入总计为54,247万元。政府性基金预算支出计划54,084万元，债务还本支出163万元，政府性基金预算支出总计54,247万元，收支平衡。（详见附表八、2025年政府性基金收支预算表）</w:t>
      </w:r>
    </w:p>
    <w:p w14:paraId="6578828B">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楷体" w:hAnsi="楷体" w:eastAsia="楷体" w:cs="楷体_GB2312"/>
          <w:b w:val="0"/>
          <w:bCs/>
          <w:kern w:val="0"/>
          <w:szCs w:val="32"/>
        </w:rPr>
      </w:pPr>
      <w:r>
        <w:rPr>
          <w:rFonts w:hint="eastAsia" w:ascii="楷体" w:hAnsi="楷体" w:eastAsia="楷体" w:cs="楷体_GB2312"/>
          <w:b w:val="0"/>
          <w:bCs/>
          <w:kern w:val="0"/>
          <w:szCs w:val="32"/>
        </w:rPr>
        <w:t>（三）社会保险基金预算收支安排。</w:t>
      </w:r>
    </w:p>
    <w:p w14:paraId="7D8D3DDD">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150"/>
        <w:textAlignment w:val="auto"/>
        <w:rPr>
          <w:rFonts w:hint="eastAsia" w:ascii="仿宋" w:hAnsi="仿宋" w:eastAsia="仿宋"/>
          <w:color w:val="000000"/>
          <w:kern w:val="0"/>
          <w:szCs w:val="32"/>
        </w:rPr>
      </w:pPr>
      <w:r>
        <w:rPr>
          <w:rFonts w:hint="eastAsia" w:ascii="仿宋" w:hAnsi="仿宋" w:eastAsia="仿宋"/>
          <w:color w:val="000000"/>
          <w:kern w:val="0"/>
          <w:szCs w:val="32"/>
          <w:highlight w:val="none"/>
        </w:rPr>
        <w:t>2025年全县社保基金收入计划79,071万元，其中</w:t>
      </w:r>
      <w:r>
        <w:rPr>
          <w:rFonts w:hint="eastAsia" w:ascii="仿宋" w:hAnsi="仿宋" w:eastAsia="仿宋"/>
          <w:color w:val="000000"/>
          <w:kern w:val="0"/>
          <w:szCs w:val="32"/>
          <w:highlight w:val="none"/>
          <w:lang w:eastAsia="zh-CN"/>
        </w:rPr>
        <w:t>：</w:t>
      </w:r>
      <w:r>
        <w:rPr>
          <w:rFonts w:hint="eastAsia" w:ascii="仿宋" w:hAnsi="仿宋" w:eastAsia="仿宋"/>
          <w:color w:val="000000"/>
          <w:kern w:val="0"/>
          <w:szCs w:val="32"/>
          <w:highlight w:val="none"/>
        </w:rPr>
        <w:t>保险费收入25,712万元，补贴收入51,426万元。2025年全县社保基金支出计划75,487万元，滚存下年31,552万元，收</w:t>
      </w:r>
      <w:r>
        <w:rPr>
          <w:rFonts w:hint="eastAsia" w:ascii="仿宋" w:hAnsi="仿宋" w:eastAsia="仿宋"/>
          <w:color w:val="000000"/>
          <w:kern w:val="0"/>
          <w:szCs w:val="32"/>
        </w:rPr>
        <w:t>支平衡。</w:t>
      </w:r>
      <w:r>
        <w:rPr>
          <w:rFonts w:hint="eastAsia" w:ascii="仿宋" w:hAnsi="仿宋" w:eastAsia="仿宋"/>
          <w:spacing w:val="-4"/>
          <w:kern w:val="0"/>
          <w:szCs w:val="32"/>
        </w:rPr>
        <w:t>（</w:t>
      </w:r>
      <w:r>
        <w:rPr>
          <w:rFonts w:hint="eastAsia" w:ascii="仿宋" w:hAnsi="仿宋" w:eastAsia="仿宋"/>
          <w:kern w:val="0"/>
          <w:szCs w:val="32"/>
        </w:rPr>
        <w:t>详见附表九、2025年社保基金收支预算情况表）</w:t>
      </w:r>
    </w:p>
    <w:p w14:paraId="072AA4E6">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楷体" w:hAnsi="楷体" w:eastAsia="楷体" w:cs="楷体_GB2312"/>
          <w:b w:val="0"/>
          <w:bCs/>
          <w:kern w:val="0"/>
          <w:szCs w:val="32"/>
        </w:rPr>
      </w:pPr>
      <w:r>
        <w:rPr>
          <w:rFonts w:hint="eastAsia" w:ascii="楷体" w:hAnsi="楷体" w:eastAsia="楷体" w:cs="楷体_GB2312"/>
          <w:b w:val="0"/>
          <w:bCs/>
          <w:kern w:val="0"/>
          <w:szCs w:val="32"/>
        </w:rPr>
        <w:t>（四）部门预算收支安排。</w:t>
      </w:r>
    </w:p>
    <w:p w14:paraId="2FF2620C">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仿宋" w:hAnsi="仿宋" w:eastAsia="仿宋"/>
          <w:kern w:val="0"/>
          <w:szCs w:val="32"/>
        </w:rPr>
      </w:pPr>
      <w:r>
        <w:rPr>
          <w:rFonts w:hint="eastAsia" w:ascii="仿宋" w:hAnsi="仿宋" w:eastAsia="仿宋"/>
          <w:kern w:val="0"/>
          <w:szCs w:val="32"/>
        </w:rPr>
        <w:t>2025年，部门预算收入计划546,236万元</w:t>
      </w:r>
      <w:r>
        <w:rPr>
          <w:rFonts w:hint="eastAsia" w:ascii="仿宋" w:hAnsi="仿宋" w:eastAsia="仿宋"/>
          <w:kern w:val="0"/>
          <w:szCs w:val="32"/>
          <w:lang w:eastAsia="zh-CN"/>
        </w:rPr>
        <w:t>，</w:t>
      </w:r>
      <w:r>
        <w:rPr>
          <w:rFonts w:hint="eastAsia" w:ascii="仿宋" w:hAnsi="仿宋" w:eastAsia="仿宋"/>
          <w:kern w:val="0"/>
          <w:szCs w:val="32"/>
        </w:rPr>
        <w:t>上年结转结余17,918万元，部门预算支出计划564,154万元，收支平衡。（详见附表十、2025年部门收支预算情况表）</w:t>
      </w:r>
    </w:p>
    <w:p w14:paraId="0C3305AE">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textAlignment w:val="auto"/>
        <w:rPr>
          <w:rFonts w:hint="eastAsia" w:ascii="楷体" w:hAnsi="楷体" w:eastAsia="楷体"/>
          <w:b/>
          <w:color w:val="000000"/>
          <w:kern w:val="0"/>
          <w:szCs w:val="32"/>
        </w:rPr>
      </w:pPr>
      <w:r>
        <w:rPr>
          <w:rFonts w:hint="eastAsia" w:ascii="楷体" w:hAnsi="楷体" w:eastAsia="楷体"/>
          <w:b/>
          <w:color w:val="000000"/>
          <w:kern w:val="0"/>
          <w:szCs w:val="32"/>
        </w:rPr>
        <w:t xml:space="preserve"> </w:t>
      </w:r>
      <w:r>
        <w:rPr>
          <w:rFonts w:hint="eastAsia" w:ascii="黑体" w:hAnsi="黑体" w:eastAsia="黑体" w:cs="黑体"/>
          <w:b w:val="0"/>
          <w:bCs/>
          <w:color w:val="000000"/>
          <w:kern w:val="0"/>
          <w:szCs w:val="32"/>
        </w:rPr>
        <w:t>四、2025年重点工作安排</w:t>
      </w:r>
    </w:p>
    <w:p w14:paraId="680C135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24" w:firstLineChars="200"/>
        <w:textAlignment w:val="auto"/>
        <w:rPr>
          <w:rFonts w:hint="eastAsia" w:ascii="仿宋" w:hAnsi="仿宋" w:eastAsia="仿宋"/>
          <w:spacing w:val="-4"/>
          <w:kern w:val="0"/>
          <w:sz w:val="32"/>
          <w:szCs w:val="32"/>
        </w:rPr>
      </w:pPr>
      <w:r>
        <w:rPr>
          <w:rFonts w:hint="eastAsia" w:ascii="仿宋" w:hAnsi="仿宋" w:eastAsia="仿宋"/>
          <w:spacing w:val="-4"/>
          <w:kern w:val="0"/>
          <w:sz w:val="32"/>
          <w:szCs w:val="32"/>
        </w:rPr>
        <w:t>根据2025年全县财政工作指导思想，我们将着力做好以下工作：</w:t>
      </w:r>
    </w:p>
    <w:p w14:paraId="4213F732">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27" w:firstLineChars="200"/>
        <w:textAlignment w:val="auto"/>
        <w:rPr>
          <w:rFonts w:hint="eastAsia" w:ascii="仿宋" w:hAnsi="仿宋" w:eastAsia="仿宋" w:cs="仿宋"/>
          <w:spacing w:val="-4"/>
          <w:kern w:val="0"/>
          <w:szCs w:val="32"/>
        </w:rPr>
      </w:pPr>
      <w:r>
        <w:rPr>
          <w:rFonts w:hint="eastAsia" w:ascii="仿宋" w:hAnsi="仿宋" w:eastAsia="仿宋" w:cs="楷体_GB2312"/>
          <w:b/>
          <w:spacing w:val="-4"/>
          <w:kern w:val="0"/>
        </w:rPr>
        <w:t>一是加强</w:t>
      </w:r>
      <w:r>
        <w:rPr>
          <w:rFonts w:hint="eastAsia" w:ascii="楷体" w:hAnsi="楷体" w:eastAsia="楷体" w:cs="楷体"/>
          <w:b/>
          <w:bCs/>
          <w:spacing w:val="-4"/>
          <w:kern w:val="0"/>
          <w:szCs w:val="32"/>
        </w:rPr>
        <w:t>财政收入管理，增加地方自主财力。</w:t>
      </w:r>
      <w:r>
        <w:rPr>
          <w:rFonts w:hint="eastAsia" w:ascii="仿宋" w:hAnsi="仿宋" w:eastAsia="仿宋" w:cs="仿宋"/>
          <w:spacing w:val="-4"/>
          <w:kern w:val="0"/>
        </w:rPr>
        <w:t>坚持把收入组织作为财政部门当前和今后一段时期的重点工作，贯彻自我加压、主动作为的要求，实事求是、科学合理编制收入预算。推动开展涉财涉税数据的常态化共享，充分发挥联合会商制度作用，认真研判分行业发展水平与税收收入增速的差异，精准稳妥施策，营造公平税赋环境。加强国有资源和资产管理，依法依规处置闲置资源、资产，提高国有资源、资产利用率。</w:t>
      </w:r>
    </w:p>
    <w:p w14:paraId="60C2AD67">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27" w:firstLineChars="200"/>
        <w:textAlignment w:val="auto"/>
        <w:rPr>
          <w:rFonts w:hint="eastAsia" w:ascii="仿宋" w:hAnsi="仿宋" w:eastAsia="仿宋" w:cs="楷体"/>
          <w:color w:val="000000"/>
          <w:spacing w:val="-4"/>
          <w:kern w:val="0"/>
          <w:szCs w:val="32"/>
        </w:rPr>
      </w:pPr>
      <w:r>
        <w:rPr>
          <w:rFonts w:hint="eastAsia" w:ascii="仿宋" w:hAnsi="仿宋" w:eastAsia="仿宋" w:cs="楷体_GB2312"/>
          <w:b/>
          <w:spacing w:val="-4"/>
          <w:kern w:val="0"/>
        </w:rPr>
        <w:t>二是</w:t>
      </w:r>
      <w:r>
        <w:rPr>
          <w:rFonts w:hint="eastAsia" w:ascii="楷体" w:hAnsi="楷体" w:eastAsia="楷体" w:cs="楷体"/>
          <w:b/>
          <w:color w:val="000000"/>
          <w:spacing w:val="-4"/>
          <w:kern w:val="0"/>
          <w:szCs w:val="32"/>
        </w:rPr>
        <w:t>切实优化支出结构，保障各项重点刚性支出。</w:t>
      </w:r>
      <w:r>
        <w:rPr>
          <w:rFonts w:hint="eastAsia" w:ascii="仿宋" w:hAnsi="仿宋" w:eastAsia="仿宋" w:cs="楷体"/>
          <w:color w:val="000000"/>
          <w:spacing w:val="-4"/>
          <w:kern w:val="0"/>
          <w:szCs w:val="32"/>
        </w:rPr>
        <w:t>把财政资金用好、用在刀刃上，初步构建有保有压、突出重点、统筹有力的预算安排机制。坚持“因事定钱、按事核资”，先有预算、后有支出，坚持尽力而为、量力而行，兜牢“三保”底线，预算优先保障工资、基本民生、机构运转等重点刚性支出。坚持党政机关习惯过紧日子，继续落实好国家和省过紧日子节约支出的相关规定，大力压减会议费、培训费等一般性支出。</w:t>
      </w:r>
    </w:p>
    <w:p w14:paraId="1C4DE041">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27" w:firstLineChars="200"/>
        <w:textAlignment w:val="auto"/>
        <w:rPr>
          <w:rFonts w:hint="eastAsia" w:ascii="仿宋" w:hAnsi="仿宋" w:eastAsia="仿宋" w:cs="楷体_GB2312"/>
          <w:spacing w:val="-4"/>
          <w:kern w:val="0"/>
        </w:rPr>
      </w:pPr>
      <w:r>
        <w:rPr>
          <w:rFonts w:hint="eastAsia" w:ascii="楷体" w:hAnsi="楷体" w:eastAsia="楷体" w:cs="楷体_GB2312"/>
          <w:b/>
          <w:spacing w:val="-4"/>
          <w:kern w:val="0"/>
        </w:rPr>
        <w:t>三是加强财政资金统筹，支持保障和改善民生。</w:t>
      </w:r>
      <w:r>
        <w:rPr>
          <w:rFonts w:hint="eastAsia" w:ascii="仿宋" w:hAnsi="仿宋" w:eastAsia="仿宋" w:cs="楷体_GB2312"/>
          <w:spacing w:val="-4"/>
          <w:kern w:val="0"/>
        </w:rPr>
        <w:t>统筹一般公共预算地方级收入、一般性转移支付、政府性基金预算收入，加大对保障和改善民生投入。对城乡义务教育经费、家庭经济困难学生资助、城乡居民最低生活保障、特困人员救助供养、残疾人补贴、城乡居民基本养老保险、企业职工养老保险、机关事业单位养老保险、就业、优抚对象抚恤和生活补助、城乡居民基本医疗保险、计划生育、城乡医疗救助、基本城市运维等大额基本民生支出全力予以保障。</w:t>
      </w:r>
    </w:p>
    <w:p w14:paraId="00D2E19F">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27" w:firstLineChars="200"/>
        <w:textAlignment w:val="auto"/>
        <w:rPr>
          <w:rFonts w:hint="eastAsia" w:ascii="仿宋" w:hAnsi="仿宋" w:eastAsia="仿宋"/>
          <w:spacing w:val="-4"/>
          <w:kern w:val="0"/>
          <w:szCs w:val="32"/>
        </w:rPr>
      </w:pPr>
      <w:r>
        <w:rPr>
          <w:rFonts w:hint="eastAsia" w:ascii="楷体" w:hAnsi="楷体" w:eastAsia="楷体"/>
          <w:b/>
          <w:spacing w:val="-4"/>
          <w:kern w:val="0"/>
          <w:szCs w:val="32"/>
        </w:rPr>
        <w:t>四是深化零基预算改革，切实提升财政政策资金效能。</w:t>
      </w:r>
      <w:r>
        <w:rPr>
          <w:rFonts w:hint="eastAsia" w:ascii="仿宋" w:hAnsi="仿宋" w:eastAsia="仿宋"/>
          <w:spacing w:val="-4"/>
          <w:kern w:val="0"/>
          <w:szCs w:val="32"/>
        </w:rPr>
        <w:t>改革预算编制方式、加强财政资源统筹、深化配套制度改革、严格规范预算管理，深化零基预算改革。打破政府预算基数，全面评估现行支出政策和项目，无必要实施的，坚决取消；超出财政承受能力、效益不高的，调整优化；打破部门预算基数，不再采取“基数+增长”方式安排部门预算，所有支出预算以零为起点，人员经费预算按工资标准、人数等因素据实编制，运转支出预算主要采取定员定额方式编制，一年一核、能增能减。在打破“基数”的同时，加强财政资源统筹和科学分配，集中财力保重点，严明支出秩序。</w:t>
      </w:r>
    </w:p>
    <w:p w14:paraId="096B6544">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ascii="仿宋" w:hAnsi="仿宋" w:eastAsia="仿宋"/>
          <w:kern w:val="0"/>
          <w:szCs w:val="32"/>
        </w:rPr>
      </w:pPr>
      <w:r>
        <w:rPr>
          <w:rFonts w:hint="eastAsia" w:ascii="仿宋" w:hAnsi="仿宋" w:eastAsia="仿宋" w:cs="宋体"/>
          <w:snapToGrid w:val="0"/>
          <w:kern w:val="0"/>
          <w:szCs w:val="32"/>
        </w:rPr>
        <w:t>各位代表，2025年财政工作任务及改革任务繁重而艰巨。我们将在</w:t>
      </w:r>
      <w:r>
        <w:rPr>
          <w:rFonts w:hint="eastAsia" w:ascii="仿宋" w:hAnsi="仿宋" w:eastAsia="仿宋"/>
          <w:kern w:val="0"/>
          <w:szCs w:val="32"/>
        </w:rPr>
        <w:t>县委的</w:t>
      </w:r>
      <w:r>
        <w:rPr>
          <w:rFonts w:hint="eastAsia" w:ascii="仿宋" w:hAnsi="仿宋" w:eastAsia="仿宋" w:cs="宋体"/>
          <w:snapToGrid w:val="0"/>
          <w:kern w:val="0"/>
          <w:szCs w:val="32"/>
        </w:rPr>
        <w:t>正确领导下，</w:t>
      </w:r>
      <w:r>
        <w:rPr>
          <w:rFonts w:hint="eastAsia" w:ascii="仿宋" w:hAnsi="仿宋" w:eastAsia="仿宋"/>
          <w:kern w:val="0"/>
          <w:szCs w:val="32"/>
        </w:rPr>
        <w:t>在县人大依法监督和县政协大力支持下，树牢底线思维，迎难而上、主动作为，埋头苦干、奋勇前进，努力做好各项财政工作，为伊通全面发展贡献积极的财政力量。</w:t>
      </w:r>
    </w:p>
    <w:p w14:paraId="3B86884A"/>
    <w:sectPr>
      <w:headerReference r:id="rId3" w:type="default"/>
      <w:footerReference r:id="rId4" w:type="default"/>
      <w:footerReference r:id="rId5" w:type="even"/>
      <w:pgSz w:w="11906" w:h="16838"/>
      <w:pgMar w:top="1446" w:right="1803" w:bottom="1440" w:left="1803"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4BBD9A-B1DB-4533-8F54-0327F841F13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panose1 w:val="02000000000000000000"/>
    <w:charset w:val="86"/>
    <w:family w:val="script"/>
    <w:pitch w:val="default"/>
    <w:sig w:usb0="00000001" w:usb1="08000000" w:usb2="00000000" w:usb3="00000000" w:csb0="00040000" w:csb1="00000000"/>
    <w:embedRegular r:id="rId2" w:fontKey="{F9529F00-DCA3-44CA-B3C0-1FF4E9591487}"/>
  </w:font>
  <w:font w:name="楷体">
    <w:panose1 w:val="02010609060101010101"/>
    <w:charset w:val="86"/>
    <w:family w:val="modern"/>
    <w:pitch w:val="default"/>
    <w:sig w:usb0="800002BF" w:usb1="38CF7CFA" w:usb2="00000016" w:usb3="00000000" w:csb0="00040001" w:csb1="00000000"/>
    <w:embedRegular r:id="rId3" w:fontKey="{2281EEE2-43A4-45CE-9437-BAAA3697FD66}"/>
  </w:font>
  <w:font w:name="仿宋">
    <w:panose1 w:val="02010609060101010101"/>
    <w:charset w:val="86"/>
    <w:family w:val="modern"/>
    <w:pitch w:val="default"/>
    <w:sig w:usb0="800002BF" w:usb1="38CF7CFA" w:usb2="00000016" w:usb3="00000000" w:csb0="00040001" w:csb1="00000000"/>
    <w:embedRegular r:id="rId4" w:fontKey="{1D095C07-D8F9-4A3F-AA1E-C40BCC06E16A}"/>
  </w:font>
  <w:font w:name="仿宋_GB2312">
    <w:altName w:val="仿宋"/>
    <w:panose1 w:val="02010609030101010101"/>
    <w:charset w:val="86"/>
    <w:family w:val="modern"/>
    <w:pitch w:val="default"/>
    <w:sig w:usb0="00000000" w:usb1="00000000" w:usb2="00000010" w:usb3="00000000" w:csb0="00040000" w:csb1="00000000"/>
    <w:embedRegular r:id="rId5" w:fontKey="{D54069FE-36E9-4738-952D-06992F3C1065}"/>
  </w:font>
  <w:font w:name="Tahoma">
    <w:panose1 w:val="020B0604030504040204"/>
    <w:charset w:val="00"/>
    <w:family w:val="swiss"/>
    <w:pitch w:val="default"/>
    <w:sig w:usb0="E1002EFF" w:usb1="C000605B" w:usb2="00000029" w:usb3="00000000" w:csb0="200101FF" w:csb1="20280000"/>
    <w:embedRegular r:id="rId6" w:fontKey="{975BA5B4-7850-450A-8012-B59829F4CC5B}"/>
  </w:font>
  <w:font w:name="楷体_GB2312">
    <w:altName w:val="楷体"/>
    <w:panose1 w:val="02010609030101010101"/>
    <w:charset w:val="86"/>
    <w:family w:val="modern"/>
    <w:pitch w:val="default"/>
    <w:sig w:usb0="00000000" w:usb1="00000000" w:usb2="00000010" w:usb3="00000000" w:csb0="00040000" w:csb1="00000000"/>
    <w:embedRegular r:id="rId7" w:fontKey="{890F656F-FAC6-4B4F-A170-6E19C15DDF0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7331D">
    <w:pPr>
      <w:pStyle w:val="3"/>
      <w:ind w:right="360"/>
      <w:rPr>
        <w:rStyle w:val="7"/>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530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7310" cy="153035"/>
                      </a:xfrm>
                      <a:prstGeom prst="rect">
                        <a:avLst/>
                      </a:prstGeom>
                      <a:noFill/>
                      <a:ln>
                        <a:noFill/>
                      </a:ln>
                    </wps:spPr>
                    <wps:txbx>
                      <w:txbxContent>
                        <w:p w14:paraId="3F0FC09F">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4</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2.05pt;width:5.3pt;mso-position-horizontal:center;mso-position-horizontal-relative:margin;mso-wrap-style:none;z-index:251659264;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GerNUXQAAAAAwEAAA8AAAAAAAAAAQAgAAAAIgAAAGRycy9kb3ducmV2&#10;LnhtbFBLAQIUABQAAAAIAIdO4kClKt1CywEAAJYDAAAOAAAAAAAAAAEAIAAAAB8BAABkcnMvZTJv&#10;RG9jLnhtbFBLBQYAAAAABgAGAFkBAABcBQAAAAA=&#10;">
              <v:fill on="f" focussize="0,0"/>
              <v:stroke on="f"/>
              <v:imagedata o:title=""/>
              <o:lock v:ext="edit" aspectratio="f"/>
              <v:textbox inset="0mm,0mm,0mm,0mm" style="mso-fit-shape-to-text:t;">
                <w:txbxContent>
                  <w:p w14:paraId="3F0FC09F">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4</w:t>
                    </w:r>
                    <w:r>
                      <w:rPr>
                        <w:rFonts w:hint="eastAsia"/>
                        <w:sz w:val="18"/>
                      </w:rPr>
                      <w:fldChar w:fldCharType="end"/>
                    </w:r>
                  </w:p>
                </w:txbxContent>
              </v:textbox>
            </v:shape>
          </w:pict>
        </mc:Fallback>
      </mc:AlternateContent>
    </w:r>
  </w:p>
  <w:p w14:paraId="57541FCE">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37EC2">
    <w:pPr>
      <w:pStyle w:val="3"/>
      <w:framePr w:wrap="around" w:vAnchor="text" w:hAnchor="margin" w:xAlign="outside" w:y="1"/>
      <w:rPr>
        <w:rStyle w:val="7"/>
      </w:rPr>
    </w:pPr>
    <w:r>
      <w:fldChar w:fldCharType="begin"/>
    </w:r>
    <w:r>
      <w:rPr>
        <w:rStyle w:val="7"/>
      </w:rPr>
      <w:instrText xml:space="preserve">PAGE  </w:instrText>
    </w:r>
    <w:r>
      <w:fldChar w:fldCharType="separate"/>
    </w:r>
    <w:r>
      <w:rPr>
        <w:rStyle w:val="7"/>
      </w:rPr>
      <w:t>10</w:t>
    </w:r>
    <w:r>
      <w:fldChar w:fldCharType="end"/>
    </w:r>
  </w:p>
  <w:p w14:paraId="47144027">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96153">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25001"/>
    <w:rsid w:val="1B3659D2"/>
    <w:rsid w:val="220A70E1"/>
    <w:rsid w:val="355A3A93"/>
    <w:rsid w:val="77F25001"/>
    <w:rsid w:val="787E7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方正仿宋简体"/>
      <w:sz w:val="32"/>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5380</Words>
  <Characters>6287</Characters>
  <Lines>0</Lines>
  <Paragraphs>0</Paragraphs>
  <TotalTime>0</TotalTime>
  <ScaleCrop>false</ScaleCrop>
  <LinksUpToDate>false</LinksUpToDate>
  <CharactersWithSpaces>6297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2024-12-04T04:11:00Z</dcterms:created>
  <dc:creator>总有刁民想害朕</dc:creator>
  <cp:lastModifiedBy>总有刁民想害朕</cp:lastModifiedBy>
  <dcterms:modified xsi:type="dcterms:W3CDTF">2024-12-04T06:26:26Z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5E02C66B59644C97ABE670C058C9487F_11</vt:lpwstr>
  </property>
</Properties>
</file>