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伊通满族自治县2025年预算</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执行情况和2026年预算（草案）的</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报      告</w:t>
      </w:r>
    </w:p>
    <w:p>
      <w:pPr>
        <w:jc w:val="center"/>
        <w:rPr>
          <w:rFonts w:ascii="楷体" w:hAnsi="楷体" w:eastAsia="楷体" w:cs="楷体"/>
          <w:sz w:val="32"/>
          <w:szCs w:val="32"/>
        </w:rPr>
      </w:pPr>
      <w:r>
        <w:rPr>
          <w:rFonts w:hint="eastAsia" w:ascii="楷体" w:hAnsi="楷体" w:eastAsia="楷体" w:cs="楷体"/>
          <w:sz w:val="32"/>
          <w:szCs w:val="32"/>
        </w:rPr>
        <w:t xml:space="preserve">伊通满族自治县财政局局长 王学锋 </w:t>
      </w:r>
    </w:p>
    <w:p>
      <w:pPr>
        <w:pStyle w:val="2"/>
        <w:spacing w:line="600" w:lineRule="exact"/>
        <w:rPr>
          <w:rFonts w:ascii="仿宋" w:hAnsi="仿宋" w:eastAsia="仿宋"/>
          <w:kern w:val="0"/>
          <w:szCs w:val="32"/>
        </w:rPr>
      </w:pPr>
    </w:p>
    <w:p>
      <w:pPr>
        <w:spacing w:line="576" w:lineRule="exact"/>
        <w:rPr>
          <w:rFonts w:ascii="仿宋" w:hAnsi="仿宋" w:eastAsia="仿宋"/>
          <w:kern w:val="0"/>
          <w:szCs w:val="32"/>
        </w:rPr>
      </w:pPr>
      <w:r>
        <w:rPr>
          <w:rFonts w:hint="eastAsia" w:ascii="仿宋" w:hAnsi="仿宋" w:eastAsia="仿宋"/>
          <w:kern w:val="0"/>
          <w:sz w:val="32"/>
          <w:szCs w:val="32"/>
        </w:rPr>
        <w:t>主任、各位副主任、各位委员：</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lang w:eastAsia="zh-CN"/>
        </w:rPr>
        <w:t>受县人民政府委托，</w:t>
      </w:r>
      <w:r>
        <w:rPr>
          <w:rFonts w:hint="eastAsia" w:ascii="仿宋" w:hAnsi="仿宋" w:eastAsia="仿宋"/>
          <w:kern w:val="0"/>
          <w:szCs w:val="32"/>
        </w:rPr>
        <w:t>现将全县2025年预算执行情况和2026年预算草案报告如下</w:t>
      </w:r>
      <w:r>
        <w:rPr>
          <w:rFonts w:hint="eastAsia" w:ascii="仿宋" w:hAnsi="仿宋" w:eastAsia="仿宋"/>
          <w:kern w:val="0"/>
          <w:szCs w:val="32"/>
          <w:lang w:eastAsia="zh-CN"/>
        </w:rPr>
        <w:t>，请予审议</w:t>
      </w:r>
      <w:r>
        <w:rPr>
          <w:rFonts w:hint="eastAsia" w:ascii="仿宋" w:hAnsi="仿宋" w:eastAsia="仿宋"/>
          <w:kern w:val="0"/>
          <w:szCs w:val="32"/>
        </w:rPr>
        <w:t>。</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2025</w:t>
      </w:r>
      <w:r>
        <w:rPr>
          <w:rFonts w:ascii="仿宋" w:hAnsi="仿宋" w:eastAsia="仿宋"/>
          <w:kern w:val="0"/>
          <w:szCs w:val="32"/>
        </w:rPr>
        <w:t>年，</w:t>
      </w:r>
      <w:r>
        <w:rPr>
          <w:rFonts w:hint="eastAsia" w:ascii="仿宋" w:hAnsi="仿宋" w:eastAsia="仿宋"/>
          <w:kern w:val="0"/>
          <w:szCs w:val="32"/>
        </w:rPr>
        <w:t>全县财政工作坚决贯彻县</w:t>
      </w:r>
      <w:r>
        <w:rPr>
          <w:rFonts w:ascii="仿宋" w:hAnsi="仿宋" w:eastAsia="仿宋"/>
          <w:kern w:val="0"/>
          <w:szCs w:val="32"/>
        </w:rPr>
        <w:t>委对财政经济工作的总体部署</w:t>
      </w:r>
      <w:r>
        <w:rPr>
          <w:rFonts w:hint="eastAsia" w:ascii="仿宋" w:hAnsi="仿宋" w:eastAsia="仿宋"/>
          <w:kern w:val="0"/>
          <w:szCs w:val="32"/>
        </w:rPr>
        <w:t>，认真落实县八</w:t>
      </w:r>
      <w:r>
        <w:rPr>
          <w:rFonts w:ascii="仿宋" w:hAnsi="仿宋" w:eastAsia="仿宋"/>
          <w:kern w:val="0"/>
          <w:szCs w:val="32"/>
        </w:rPr>
        <w:t>届人大四次会议批准的预算</w:t>
      </w:r>
      <w:r>
        <w:rPr>
          <w:rFonts w:hint="eastAsia" w:ascii="仿宋" w:hAnsi="仿宋" w:eastAsia="仿宋"/>
          <w:kern w:val="0"/>
          <w:szCs w:val="32"/>
        </w:rPr>
        <w:t>方案及执行中县人大常委会批复的调整预算</w:t>
      </w:r>
      <w:r>
        <w:rPr>
          <w:rFonts w:ascii="仿宋" w:hAnsi="仿宋" w:eastAsia="仿宋"/>
          <w:kern w:val="0"/>
          <w:szCs w:val="32"/>
        </w:rPr>
        <w:t>，坚持稳中求进工作总基调，有力有效推动财政政策资金更加积极有为，以财政工作高质效助推全县发展高质量。</w:t>
      </w:r>
    </w:p>
    <w:p>
      <w:pPr>
        <w:pStyle w:val="2"/>
        <w:spacing w:line="600" w:lineRule="exact"/>
        <w:ind w:firstLine="640" w:firstLineChars="200"/>
        <w:rPr>
          <w:rFonts w:ascii="黑体" w:hAnsi="黑体" w:eastAsia="黑体" w:cs="黑体"/>
          <w:bCs/>
          <w:kern w:val="0"/>
          <w:szCs w:val="32"/>
        </w:rPr>
      </w:pPr>
      <w:r>
        <w:rPr>
          <w:rFonts w:hint="eastAsia" w:ascii="黑体" w:hAnsi="黑体" w:eastAsia="黑体" w:cs="黑体"/>
          <w:bCs/>
          <w:kern w:val="0"/>
          <w:szCs w:val="32"/>
        </w:rPr>
        <w:t>一、2025年预算执行预计情况</w:t>
      </w:r>
    </w:p>
    <w:p>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（一）一般公共预算执行预计情况</w:t>
      </w:r>
    </w:p>
    <w:p>
      <w:pPr>
        <w:pStyle w:val="2"/>
        <w:spacing w:line="600" w:lineRule="exact"/>
        <w:ind w:firstLine="643" w:firstLineChars="200"/>
        <w:rPr>
          <w:rFonts w:ascii="仿宋" w:hAnsi="仿宋" w:eastAsia="仿宋"/>
          <w:kern w:val="0"/>
          <w:szCs w:val="32"/>
        </w:rPr>
      </w:pPr>
      <w:r>
        <w:rPr>
          <w:rFonts w:hint="eastAsia" w:ascii="仿宋" w:hAnsi="仿宋" w:eastAsia="仿宋"/>
          <w:b/>
          <w:bCs/>
          <w:kern w:val="0"/>
          <w:szCs w:val="32"/>
        </w:rPr>
        <w:t>1.一般公共预算收入预计完成情况</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县八届人民代表大会常务委员会第34次会议批准，2</w:t>
      </w:r>
      <w:r>
        <w:rPr>
          <w:rFonts w:hint="eastAsia" w:ascii="仿宋" w:hAnsi="仿宋" w:eastAsia="仿宋"/>
          <w:szCs w:val="32"/>
        </w:rPr>
        <w:t>025年</w:t>
      </w:r>
      <w:r>
        <w:rPr>
          <w:rFonts w:hint="eastAsia" w:ascii="仿宋" w:hAnsi="仿宋" w:eastAsia="仿宋"/>
          <w:kern w:val="0"/>
          <w:szCs w:val="32"/>
        </w:rPr>
        <w:t>全县一般公共预算全口径收入调整预算为73</w:t>
      </w:r>
      <w:r>
        <w:rPr>
          <w:rFonts w:hint="eastAsia" w:ascii="仿宋" w:hAnsi="仿宋" w:eastAsia="仿宋"/>
          <w:kern w:val="0"/>
          <w:szCs w:val="32"/>
          <w:lang w:val="en-US" w:eastAsia="zh-CN"/>
        </w:rPr>
        <w:t>,</w:t>
      </w:r>
      <w:r>
        <w:rPr>
          <w:rFonts w:hint="eastAsia" w:ascii="仿宋" w:hAnsi="仿宋" w:eastAsia="仿宋"/>
          <w:kern w:val="0"/>
          <w:szCs w:val="32"/>
        </w:rPr>
        <w:t>250万元。到年末，全县一般公共预算全口径收入预计完成61</w:t>
      </w:r>
      <w:r>
        <w:rPr>
          <w:rFonts w:hint="eastAsia" w:ascii="仿宋" w:hAnsi="仿宋" w:eastAsia="仿宋"/>
          <w:kern w:val="0"/>
          <w:szCs w:val="32"/>
          <w:lang w:val="en-US" w:eastAsia="zh-CN"/>
        </w:rPr>
        <w:t>,</w:t>
      </w:r>
      <w:r>
        <w:rPr>
          <w:rFonts w:hint="eastAsia" w:ascii="仿宋" w:hAnsi="仿宋" w:eastAsia="仿宋"/>
          <w:kern w:val="0"/>
          <w:szCs w:val="32"/>
        </w:rPr>
        <w:t>100万元，完成预算的83.4%，短收12</w:t>
      </w:r>
      <w:r>
        <w:rPr>
          <w:rFonts w:hint="eastAsia" w:ascii="仿宋" w:hAnsi="仿宋" w:eastAsia="仿宋"/>
          <w:kern w:val="0"/>
          <w:szCs w:val="32"/>
          <w:lang w:val="en-US" w:eastAsia="zh-CN"/>
        </w:rPr>
        <w:t>,</w:t>
      </w:r>
      <w:r>
        <w:rPr>
          <w:rFonts w:hint="eastAsia" w:ascii="仿宋" w:hAnsi="仿宋" w:eastAsia="仿宋"/>
          <w:kern w:val="0"/>
          <w:szCs w:val="32"/>
        </w:rPr>
        <w:t>150万元，同比下降14.4%，减收10</w:t>
      </w:r>
      <w:r>
        <w:rPr>
          <w:rFonts w:hint="eastAsia" w:ascii="仿宋" w:hAnsi="仿宋" w:eastAsia="仿宋"/>
          <w:kern w:val="0"/>
          <w:szCs w:val="32"/>
          <w:lang w:val="en-US" w:eastAsia="zh-CN"/>
        </w:rPr>
        <w:t>,</w:t>
      </w:r>
      <w:r>
        <w:rPr>
          <w:rFonts w:hint="eastAsia" w:ascii="仿宋" w:hAnsi="仿宋" w:eastAsia="仿宋"/>
          <w:kern w:val="0"/>
          <w:szCs w:val="32"/>
        </w:rPr>
        <w:t>274万元，其中：税收收入完成49</w:t>
      </w:r>
      <w:r>
        <w:rPr>
          <w:rFonts w:hint="eastAsia" w:ascii="仿宋" w:hAnsi="仿宋" w:eastAsia="仿宋"/>
          <w:kern w:val="0"/>
          <w:szCs w:val="32"/>
          <w:lang w:val="en-US" w:eastAsia="zh-CN"/>
        </w:rPr>
        <w:t>,</w:t>
      </w:r>
      <w:r>
        <w:rPr>
          <w:rFonts w:hint="eastAsia" w:ascii="仿宋" w:hAnsi="仿宋" w:eastAsia="仿宋"/>
          <w:kern w:val="0"/>
          <w:szCs w:val="32"/>
        </w:rPr>
        <w:t>800万元，完成预算的84.3%，短收9</w:t>
      </w:r>
      <w:r>
        <w:rPr>
          <w:rFonts w:hint="eastAsia" w:ascii="仿宋" w:hAnsi="仿宋" w:eastAsia="仿宋"/>
          <w:kern w:val="0"/>
          <w:szCs w:val="32"/>
          <w:lang w:val="en-US" w:eastAsia="zh-CN"/>
        </w:rPr>
        <w:t>,</w:t>
      </w:r>
      <w:r>
        <w:rPr>
          <w:rFonts w:hint="eastAsia" w:ascii="仿宋" w:hAnsi="仿宋" w:eastAsia="仿宋"/>
          <w:kern w:val="0"/>
          <w:szCs w:val="32"/>
        </w:rPr>
        <w:t>300万元，同比下降14.1%，减收8</w:t>
      </w:r>
      <w:r>
        <w:rPr>
          <w:rFonts w:hint="eastAsia" w:ascii="仿宋" w:hAnsi="仿宋" w:eastAsia="仿宋"/>
          <w:kern w:val="0"/>
          <w:szCs w:val="32"/>
          <w:lang w:val="en-US" w:eastAsia="zh-CN"/>
        </w:rPr>
        <w:t>,</w:t>
      </w:r>
      <w:r>
        <w:rPr>
          <w:rFonts w:hint="eastAsia" w:ascii="仿宋" w:hAnsi="仿宋" w:eastAsia="仿宋"/>
          <w:kern w:val="0"/>
          <w:szCs w:val="32"/>
        </w:rPr>
        <w:t>167万元；非税收入完成11</w:t>
      </w:r>
      <w:r>
        <w:rPr>
          <w:rFonts w:hint="eastAsia" w:ascii="仿宋" w:hAnsi="仿宋" w:eastAsia="仿宋"/>
          <w:kern w:val="0"/>
          <w:szCs w:val="32"/>
          <w:lang w:val="en-US" w:eastAsia="zh-CN"/>
        </w:rPr>
        <w:t>,</w:t>
      </w:r>
      <w:r>
        <w:rPr>
          <w:rFonts w:hint="eastAsia" w:ascii="仿宋" w:hAnsi="仿宋" w:eastAsia="仿宋"/>
          <w:kern w:val="0"/>
          <w:szCs w:val="32"/>
        </w:rPr>
        <w:t>300万元，完成预算的79.9%，短收2</w:t>
      </w:r>
      <w:r>
        <w:rPr>
          <w:rFonts w:hint="eastAsia" w:ascii="仿宋" w:hAnsi="仿宋" w:eastAsia="仿宋"/>
          <w:kern w:val="0"/>
          <w:szCs w:val="32"/>
          <w:lang w:val="en-US" w:eastAsia="zh-CN"/>
        </w:rPr>
        <w:t>,</w:t>
      </w:r>
      <w:r>
        <w:rPr>
          <w:rFonts w:hint="eastAsia" w:ascii="仿宋" w:hAnsi="仿宋" w:eastAsia="仿宋"/>
          <w:kern w:val="0"/>
          <w:szCs w:val="32"/>
        </w:rPr>
        <w:t>850万元，同比下降15.7%，减收2</w:t>
      </w:r>
      <w:r>
        <w:rPr>
          <w:rFonts w:hint="eastAsia" w:ascii="仿宋" w:hAnsi="仿宋" w:eastAsia="仿宋"/>
          <w:kern w:val="0"/>
          <w:szCs w:val="32"/>
          <w:lang w:val="en-US" w:eastAsia="zh-CN"/>
        </w:rPr>
        <w:t>,</w:t>
      </w:r>
      <w:r>
        <w:rPr>
          <w:rFonts w:hint="eastAsia" w:ascii="仿宋" w:hAnsi="仿宋" w:eastAsia="仿宋"/>
          <w:kern w:val="0"/>
          <w:szCs w:val="32"/>
        </w:rPr>
        <w:t>107万元。税收短收主要原因是补缴税收减少及落实国家减税降费政策影响；非税收入短收的主要原因是一次性非税收入减少。</w:t>
      </w:r>
    </w:p>
    <w:p>
      <w:pPr>
        <w:pStyle w:val="2"/>
        <w:spacing w:line="600" w:lineRule="exact"/>
        <w:ind w:firstLine="640" w:firstLineChars="200"/>
        <w:rPr>
          <w:rFonts w:ascii="仿宋" w:hAnsi="仿宋" w:eastAsia="仿宋"/>
          <w:color w:val="000000"/>
          <w:kern w:val="0"/>
          <w:szCs w:val="32"/>
          <w:shd w:val="clear" w:color="auto" w:fill="FFFFFF"/>
        </w:rPr>
      </w:pPr>
      <w:r>
        <w:rPr>
          <w:rFonts w:hint="eastAsia" w:ascii="仿宋" w:hAnsi="仿宋" w:eastAsia="仿宋"/>
          <w:kern w:val="0"/>
          <w:szCs w:val="32"/>
        </w:rPr>
        <w:t>县八届人民代表大会常务委员会第34次会议批准，2</w:t>
      </w:r>
      <w:r>
        <w:rPr>
          <w:rFonts w:hint="eastAsia" w:ascii="仿宋" w:hAnsi="仿宋" w:eastAsia="仿宋"/>
          <w:szCs w:val="32"/>
        </w:rPr>
        <w:t>025年</w:t>
      </w:r>
      <w:r>
        <w:rPr>
          <w:rFonts w:hint="eastAsia" w:ascii="仿宋" w:hAnsi="仿宋" w:eastAsia="仿宋"/>
          <w:kern w:val="0"/>
          <w:szCs w:val="32"/>
        </w:rPr>
        <w:t>全县一般公共预算地方级收入调整预算为36</w:t>
      </w:r>
      <w:r>
        <w:rPr>
          <w:rFonts w:hint="eastAsia" w:ascii="仿宋" w:hAnsi="仿宋" w:eastAsia="仿宋"/>
          <w:kern w:val="0"/>
          <w:szCs w:val="32"/>
          <w:lang w:val="en-US" w:eastAsia="zh-CN"/>
        </w:rPr>
        <w:t>,</w:t>
      </w:r>
      <w:r>
        <w:rPr>
          <w:rFonts w:hint="eastAsia" w:ascii="仿宋" w:hAnsi="仿宋" w:eastAsia="仿宋"/>
          <w:kern w:val="0"/>
          <w:szCs w:val="32"/>
        </w:rPr>
        <w:t>700万元。到年末，全县一般公共预算地方级收入预计完成30</w:t>
      </w:r>
      <w:r>
        <w:rPr>
          <w:rFonts w:hint="eastAsia" w:ascii="仿宋" w:hAnsi="仿宋" w:eastAsia="仿宋"/>
          <w:kern w:val="0"/>
          <w:szCs w:val="32"/>
          <w:lang w:val="en-US" w:eastAsia="zh-CN"/>
        </w:rPr>
        <w:t>,</w:t>
      </w:r>
      <w:r>
        <w:rPr>
          <w:rFonts w:hint="eastAsia" w:ascii="仿宋" w:hAnsi="仿宋" w:eastAsia="仿宋"/>
          <w:kern w:val="0"/>
          <w:szCs w:val="32"/>
        </w:rPr>
        <w:t>100万元，完成预算的82%，短收6</w:t>
      </w:r>
      <w:r>
        <w:rPr>
          <w:rFonts w:hint="eastAsia" w:ascii="仿宋" w:hAnsi="仿宋" w:eastAsia="仿宋"/>
          <w:kern w:val="0"/>
          <w:szCs w:val="32"/>
          <w:lang w:val="en-US" w:eastAsia="zh-CN"/>
        </w:rPr>
        <w:t>,</w:t>
      </w:r>
      <w:r>
        <w:rPr>
          <w:rFonts w:hint="eastAsia" w:ascii="仿宋" w:hAnsi="仿宋" w:eastAsia="仿宋"/>
          <w:kern w:val="0"/>
          <w:szCs w:val="32"/>
        </w:rPr>
        <w:t>600万元，同比下降13%，减收4</w:t>
      </w:r>
      <w:r>
        <w:rPr>
          <w:rFonts w:hint="eastAsia" w:ascii="仿宋" w:hAnsi="仿宋" w:eastAsia="仿宋"/>
          <w:kern w:val="0"/>
          <w:szCs w:val="32"/>
          <w:lang w:val="en-US" w:eastAsia="zh-CN"/>
        </w:rPr>
        <w:t>,</w:t>
      </w:r>
      <w:r>
        <w:rPr>
          <w:rFonts w:hint="eastAsia" w:ascii="仿宋" w:hAnsi="仿宋" w:eastAsia="仿宋"/>
          <w:kern w:val="0"/>
          <w:szCs w:val="32"/>
        </w:rPr>
        <w:t>505万元，其中：税收收入完成19</w:t>
      </w:r>
      <w:r>
        <w:rPr>
          <w:rFonts w:hint="eastAsia" w:ascii="仿宋" w:hAnsi="仿宋" w:eastAsia="仿宋"/>
          <w:kern w:val="0"/>
          <w:szCs w:val="32"/>
          <w:lang w:val="en-US" w:eastAsia="zh-CN"/>
        </w:rPr>
        <w:t>,</w:t>
      </w:r>
      <w:r>
        <w:rPr>
          <w:rFonts w:hint="eastAsia" w:ascii="仿宋" w:hAnsi="仿宋" w:eastAsia="仿宋"/>
          <w:kern w:val="0"/>
          <w:szCs w:val="32"/>
        </w:rPr>
        <w:t>000万元，完成预算的83.7%，短收3</w:t>
      </w:r>
      <w:r>
        <w:rPr>
          <w:rFonts w:hint="eastAsia" w:ascii="仿宋" w:hAnsi="仿宋" w:eastAsia="仿宋"/>
          <w:kern w:val="0"/>
          <w:szCs w:val="32"/>
          <w:lang w:val="en-US" w:eastAsia="zh-CN"/>
        </w:rPr>
        <w:t>,</w:t>
      </w:r>
      <w:r>
        <w:rPr>
          <w:rFonts w:hint="eastAsia" w:ascii="仿宋" w:hAnsi="仿宋" w:eastAsia="仿宋"/>
          <w:kern w:val="0"/>
          <w:szCs w:val="32"/>
        </w:rPr>
        <w:t>700万元，同比下降11.2%，减收2,393万元；非税收入完成11,100万元，完成预算的79.3%，短收2</w:t>
      </w:r>
      <w:r>
        <w:rPr>
          <w:rFonts w:hint="eastAsia" w:ascii="仿宋" w:hAnsi="仿宋" w:eastAsia="仿宋"/>
          <w:kern w:val="0"/>
          <w:szCs w:val="32"/>
          <w:lang w:val="en-US" w:eastAsia="zh-CN"/>
        </w:rPr>
        <w:t>,</w:t>
      </w:r>
      <w:r>
        <w:rPr>
          <w:rFonts w:hint="eastAsia" w:ascii="仿宋" w:hAnsi="仿宋" w:eastAsia="仿宋"/>
          <w:kern w:val="0"/>
          <w:szCs w:val="32"/>
        </w:rPr>
        <w:t>900万元，同比下降16%，减收2</w:t>
      </w:r>
      <w:r>
        <w:rPr>
          <w:rFonts w:hint="eastAsia" w:ascii="仿宋" w:hAnsi="仿宋" w:eastAsia="仿宋"/>
          <w:kern w:val="0"/>
          <w:szCs w:val="32"/>
          <w:lang w:val="en-US" w:eastAsia="zh-CN"/>
        </w:rPr>
        <w:t>,</w:t>
      </w:r>
      <w:r>
        <w:rPr>
          <w:rFonts w:hint="eastAsia" w:ascii="仿宋" w:hAnsi="仿宋" w:eastAsia="仿宋"/>
          <w:kern w:val="0"/>
          <w:szCs w:val="32"/>
        </w:rPr>
        <w:t>112万元。</w:t>
      </w:r>
      <w:r>
        <w:rPr>
          <w:rFonts w:hint="eastAsia" w:ascii="仿宋" w:hAnsi="仿宋" w:eastAsia="仿宋"/>
          <w:color w:val="000000"/>
          <w:kern w:val="0"/>
          <w:szCs w:val="32"/>
          <w:shd w:val="clear" w:color="auto" w:fill="FFFFFF"/>
        </w:rPr>
        <w:t>（详见附表一、2025年全县一般公共预算收入完成情况表）</w:t>
      </w:r>
    </w:p>
    <w:p>
      <w:pPr>
        <w:pStyle w:val="2"/>
        <w:spacing w:line="600" w:lineRule="exact"/>
        <w:ind w:firstLine="643" w:firstLineChars="200"/>
        <w:rPr>
          <w:rFonts w:ascii="仿宋" w:hAnsi="仿宋" w:eastAsia="仿宋"/>
          <w:color w:val="000000"/>
          <w:kern w:val="0"/>
          <w:szCs w:val="32"/>
          <w:shd w:val="clear" w:color="auto" w:fill="FFFFFF"/>
        </w:rPr>
      </w:pPr>
      <w:r>
        <w:rPr>
          <w:rFonts w:hint="eastAsia" w:ascii="仿宋" w:hAnsi="仿宋" w:eastAsia="仿宋"/>
          <w:b/>
          <w:bCs/>
          <w:kern w:val="0"/>
          <w:szCs w:val="32"/>
        </w:rPr>
        <w:t>2.一般公共预算支出预计完成情况</w:t>
      </w:r>
    </w:p>
    <w:p>
      <w:pPr>
        <w:pStyle w:val="2"/>
        <w:spacing w:line="600" w:lineRule="exact"/>
        <w:ind w:firstLine="640" w:firstLineChars="200"/>
        <w:rPr>
          <w:rFonts w:ascii="仿宋" w:hAnsi="仿宋" w:eastAsia="仿宋"/>
          <w:color w:val="000000"/>
          <w:kern w:val="0"/>
          <w:szCs w:val="32"/>
          <w:shd w:val="clear" w:color="auto" w:fill="FFFFFF"/>
        </w:rPr>
      </w:pPr>
      <w:r>
        <w:rPr>
          <w:rFonts w:hint="eastAsia" w:ascii="仿宋" w:hAnsi="仿宋" w:eastAsia="仿宋"/>
          <w:kern w:val="0"/>
          <w:szCs w:val="32"/>
        </w:rPr>
        <w:t>县八届人民代表大会常务委员会第34次会议批准，一般公共预算支出调整预算为327,638万元。执行中调整增加预算45,921万元，调入资金10,053万元，省增加补助31,379万元， 2025年一般公共预算支出调整预算为414,991万元。到年末，</w:t>
      </w:r>
      <w:r>
        <w:rPr>
          <w:rFonts w:hint="eastAsia" w:ascii="仿宋" w:hAnsi="仿宋" w:eastAsia="仿宋" w:cs="仿宋_GB2312"/>
          <w:kern w:val="0"/>
          <w:szCs w:val="32"/>
        </w:rPr>
        <w:t>全县一般公共预算支出预计完成408,100万元，完成调整预算的98.3%，同比下降20.5%，减支105,443万元，减支主要原因是跨年度支出及专项支出减少。</w:t>
      </w:r>
      <w:r>
        <w:rPr>
          <w:rFonts w:hint="eastAsia" w:ascii="仿宋" w:hAnsi="仿宋" w:eastAsia="仿宋"/>
          <w:color w:val="000000"/>
          <w:kern w:val="0"/>
          <w:szCs w:val="32"/>
          <w:shd w:val="clear" w:color="auto" w:fill="FFFFFF"/>
        </w:rPr>
        <w:t>（详见附表二、2025年一般公共预算支出完成情况表）</w:t>
      </w:r>
    </w:p>
    <w:p>
      <w:pPr>
        <w:pStyle w:val="2"/>
        <w:spacing w:line="600" w:lineRule="exact"/>
        <w:ind w:firstLine="643" w:firstLineChars="200"/>
        <w:rPr>
          <w:rFonts w:ascii="仿宋" w:hAnsi="仿宋" w:eastAsia="仿宋"/>
          <w:color w:val="000000"/>
          <w:kern w:val="0"/>
          <w:szCs w:val="32"/>
          <w:shd w:val="clear" w:color="auto" w:fill="FFFFFF"/>
        </w:rPr>
      </w:pPr>
      <w:r>
        <w:rPr>
          <w:rFonts w:hint="eastAsia" w:ascii="仿宋" w:hAnsi="仿宋" w:eastAsia="仿宋"/>
          <w:b/>
          <w:bCs/>
          <w:kern w:val="0"/>
          <w:szCs w:val="32"/>
        </w:rPr>
        <w:t>3.一般公共预算收支平衡预计情况</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到年末，预计全县一般公共预算地方级收入30,100万元，省补助收入329,427万元，债务转贷收入85,681万元，上年结余收入10</w:t>
      </w:r>
      <w:r>
        <w:rPr>
          <w:rFonts w:hint="eastAsia" w:ascii="仿宋" w:hAnsi="仿宋" w:eastAsia="仿宋"/>
          <w:kern w:val="0"/>
          <w:szCs w:val="32"/>
          <w:lang w:val="en-US" w:eastAsia="zh-CN"/>
        </w:rPr>
        <w:t>,</w:t>
      </w:r>
      <w:r>
        <w:rPr>
          <w:rFonts w:hint="eastAsia" w:ascii="仿宋" w:hAnsi="仿宋" w:eastAsia="仿宋"/>
          <w:kern w:val="0"/>
          <w:szCs w:val="32"/>
        </w:rPr>
        <w:t>877万元，调入资金10,053万元，收入总计466</w:t>
      </w:r>
      <w:r>
        <w:rPr>
          <w:rFonts w:hint="eastAsia" w:ascii="仿宋" w:hAnsi="仿宋" w:eastAsia="仿宋"/>
          <w:kern w:val="0"/>
          <w:szCs w:val="32"/>
          <w:lang w:val="en-US" w:eastAsia="zh-CN"/>
        </w:rPr>
        <w:t>,</w:t>
      </w:r>
      <w:r>
        <w:rPr>
          <w:rFonts w:hint="eastAsia" w:ascii="仿宋" w:hAnsi="仿宋" w:eastAsia="仿宋"/>
          <w:kern w:val="0"/>
          <w:szCs w:val="32"/>
        </w:rPr>
        <w:t>138万元。本年支出</w:t>
      </w:r>
      <w:r>
        <w:rPr>
          <w:rFonts w:hint="eastAsia" w:ascii="仿宋" w:hAnsi="仿宋" w:eastAsia="仿宋" w:cs="仿宋_GB2312"/>
          <w:kern w:val="0"/>
          <w:szCs w:val="32"/>
        </w:rPr>
        <w:t>408,100</w:t>
      </w:r>
      <w:r>
        <w:rPr>
          <w:rFonts w:hint="eastAsia" w:ascii="仿宋" w:hAnsi="仿宋" w:eastAsia="仿宋"/>
          <w:kern w:val="0"/>
          <w:szCs w:val="32"/>
        </w:rPr>
        <w:t>万元，上解支出7,237万元，债务还本支出43,910万元，支出总计459,247万元，预留结余6</w:t>
      </w:r>
      <w:r>
        <w:rPr>
          <w:rFonts w:hint="eastAsia" w:ascii="仿宋" w:hAnsi="仿宋" w:eastAsia="仿宋"/>
          <w:kern w:val="0"/>
          <w:szCs w:val="32"/>
          <w:lang w:val="en-US" w:eastAsia="zh-CN"/>
        </w:rPr>
        <w:t>,</w:t>
      </w:r>
      <w:r>
        <w:rPr>
          <w:rFonts w:hint="eastAsia" w:ascii="仿宋" w:hAnsi="仿宋" w:eastAsia="仿宋"/>
          <w:kern w:val="0"/>
          <w:szCs w:val="32"/>
        </w:rPr>
        <w:t>891万元用于结转下年支出，实现了收支平衡。</w:t>
      </w:r>
    </w:p>
    <w:p>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（二）政府性基金预算执行预计情况</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县八届人民代表大会常务委员会第34次会议批准，</w:t>
      </w:r>
      <w:r>
        <w:rPr>
          <w:rFonts w:hint="eastAsia" w:ascii="仿宋" w:hAnsi="仿宋" w:eastAsia="仿宋"/>
          <w:szCs w:val="32"/>
        </w:rPr>
        <w:t>政府性基金预算收入调整预算为17</w:t>
      </w:r>
      <w:r>
        <w:rPr>
          <w:rFonts w:hint="eastAsia" w:ascii="仿宋" w:hAnsi="仿宋" w:eastAsia="仿宋"/>
          <w:szCs w:val="32"/>
          <w:lang w:val="en-US" w:eastAsia="zh-CN"/>
        </w:rPr>
        <w:t>,</w:t>
      </w:r>
      <w:r>
        <w:rPr>
          <w:rFonts w:hint="eastAsia" w:ascii="仿宋" w:hAnsi="仿宋" w:eastAsia="仿宋"/>
          <w:szCs w:val="32"/>
        </w:rPr>
        <w:t>590万元，政府性基金预算支出调整为60</w:t>
      </w:r>
      <w:r>
        <w:rPr>
          <w:rFonts w:hint="eastAsia" w:ascii="仿宋" w:hAnsi="仿宋" w:eastAsia="仿宋"/>
          <w:szCs w:val="32"/>
          <w:lang w:val="en-US" w:eastAsia="zh-CN"/>
        </w:rPr>
        <w:t>,</w:t>
      </w:r>
      <w:r>
        <w:rPr>
          <w:rFonts w:hint="eastAsia" w:ascii="仿宋" w:hAnsi="仿宋" w:eastAsia="仿宋"/>
          <w:szCs w:val="32"/>
        </w:rPr>
        <w:t>176万元。</w:t>
      </w:r>
      <w:r>
        <w:rPr>
          <w:rFonts w:hint="eastAsia" w:ascii="仿宋" w:hAnsi="仿宋" w:eastAsia="仿宋"/>
          <w:kern w:val="0"/>
          <w:szCs w:val="32"/>
        </w:rPr>
        <w:t>到年末，政府性基金收入预计完成11</w:t>
      </w:r>
      <w:r>
        <w:rPr>
          <w:rFonts w:hint="eastAsia" w:ascii="仿宋" w:hAnsi="仿宋" w:eastAsia="仿宋"/>
          <w:kern w:val="0"/>
          <w:szCs w:val="32"/>
          <w:lang w:val="en-US" w:eastAsia="zh-CN"/>
        </w:rPr>
        <w:t>,</w:t>
      </w:r>
      <w:r>
        <w:rPr>
          <w:rFonts w:hint="eastAsia" w:ascii="仿宋" w:hAnsi="仿宋" w:eastAsia="仿宋"/>
          <w:kern w:val="0"/>
          <w:szCs w:val="32"/>
        </w:rPr>
        <w:t>330万元，省补助收入63</w:t>
      </w:r>
      <w:r>
        <w:rPr>
          <w:rFonts w:hint="eastAsia" w:ascii="仿宋" w:hAnsi="仿宋" w:eastAsia="仿宋"/>
          <w:kern w:val="0"/>
          <w:szCs w:val="32"/>
          <w:lang w:val="en-US" w:eastAsia="zh-CN"/>
        </w:rPr>
        <w:t>,</w:t>
      </w:r>
      <w:r>
        <w:rPr>
          <w:rFonts w:hint="eastAsia" w:ascii="仿宋" w:hAnsi="仿宋" w:eastAsia="仿宋"/>
          <w:kern w:val="0"/>
          <w:szCs w:val="32"/>
        </w:rPr>
        <w:t>045万元，上年结余收入35</w:t>
      </w:r>
      <w:r>
        <w:rPr>
          <w:rFonts w:hint="eastAsia" w:ascii="仿宋" w:hAnsi="仿宋" w:eastAsia="仿宋"/>
          <w:kern w:val="0"/>
          <w:szCs w:val="32"/>
          <w:lang w:val="en-US" w:eastAsia="zh-CN"/>
        </w:rPr>
        <w:t>,</w:t>
      </w:r>
      <w:r>
        <w:rPr>
          <w:rFonts w:hint="eastAsia" w:ascii="仿宋" w:hAnsi="仿宋" w:eastAsia="仿宋"/>
          <w:kern w:val="0"/>
          <w:szCs w:val="32"/>
        </w:rPr>
        <w:t>029万元，债务转贷收入54</w:t>
      </w:r>
      <w:r>
        <w:rPr>
          <w:rFonts w:hint="eastAsia" w:ascii="仿宋" w:hAnsi="仿宋" w:eastAsia="仿宋"/>
          <w:kern w:val="0"/>
          <w:szCs w:val="32"/>
          <w:lang w:val="en-US" w:eastAsia="zh-CN"/>
        </w:rPr>
        <w:t>,</w:t>
      </w:r>
      <w:r>
        <w:rPr>
          <w:rFonts w:hint="eastAsia" w:ascii="仿宋" w:hAnsi="仿宋" w:eastAsia="仿宋"/>
          <w:kern w:val="0"/>
          <w:szCs w:val="32"/>
        </w:rPr>
        <w:t>355万元，调入资金7,62</w:t>
      </w:r>
      <w:r>
        <w:rPr>
          <w:rFonts w:hint="eastAsia" w:ascii="仿宋" w:hAnsi="仿宋" w:eastAsia="仿宋"/>
          <w:kern w:val="0"/>
          <w:szCs w:val="32"/>
          <w:lang w:val="en-US" w:eastAsia="zh-CN"/>
        </w:rPr>
        <w:t>4</w:t>
      </w:r>
      <w:r>
        <w:rPr>
          <w:rFonts w:hint="eastAsia" w:ascii="仿宋" w:hAnsi="仿宋" w:eastAsia="仿宋"/>
          <w:kern w:val="0"/>
          <w:szCs w:val="32"/>
        </w:rPr>
        <w:t>万元，收入总计171,383万元。本年支出预计完成</w:t>
      </w:r>
      <w:r>
        <w:rPr>
          <w:rFonts w:hint="eastAsia" w:ascii="仿宋" w:hAnsi="仿宋" w:eastAsia="仿宋"/>
          <w:kern w:val="0"/>
          <w:szCs w:val="32"/>
          <w:lang w:val="en-US" w:eastAsia="zh-CN"/>
        </w:rPr>
        <w:t>84,800</w:t>
      </w:r>
      <w:r>
        <w:rPr>
          <w:rFonts w:hint="eastAsia" w:ascii="仿宋" w:hAnsi="仿宋" w:eastAsia="仿宋"/>
          <w:kern w:val="0"/>
          <w:szCs w:val="32"/>
        </w:rPr>
        <w:t>万元，债务还本支出2,670万元，支出总计</w:t>
      </w:r>
      <w:r>
        <w:rPr>
          <w:rFonts w:hint="eastAsia" w:ascii="仿宋" w:hAnsi="仿宋" w:eastAsia="仿宋"/>
          <w:kern w:val="0"/>
          <w:szCs w:val="32"/>
          <w:lang w:val="en-US" w:eastAsia="zh-CN"/>
        </w:rPr>
        <w:t>87,470</w:t>
      </w:r>
      <w:r>
        <w:rPr>
          <w:rFonts w:hint="eastAsia" w:ascii="仿宋" w:hAnsi="仿宋" w:eastAsia="仿宋"/>
          <w:kern w:val="0"/>
          <w:szCs w:val="32"/>
        </w:rPr>
        <w:t>万元，预留结余</w:t>
      </w:r>
      <w:r>
        <w:rPr>
          <w:rFonts w:hint="eastAsia" w:ascii="仿宋" w:hAnsi="仿宋" w:eastAsia="仿宋"/>
          <w:kern w:val="0"/>
          <w:szCs w:val="32"/>
          <w:lang w:val="en-US" w:eastAsia="zh-CN"/>
        </w:rPr>
        <w:t>83,913</w:t>
      </w:r>
      <w:r>
        <w:rPr>
          <w:rFonts w:hint="eastAsia" w:ascii="仿宋" w:hAnsi="仿宋" w:eastAsia="仿宋"/>
          <w:kern w:val="0"/>
          <w:szCs w:val="32"/>
        </w:rPr>
        <w:t>万元用于结转下年支出，实现收支平衡。</w:t>
      </w:r>
      <w:r>
        <w:rPr>
          <w:rFonts w:hint="eastAsia" w:ascii="仿宋" w:hAnsi="仿宋" w:eastAsia="仿宋"/>
          <w:color w:val="000000"/>
          <w:kern w:val="0"/>
          <w:szCs w:val="32"/>
          <w:shd w:val="clear" w:color="auto" w:fill="FFFFFF"/>
        </w:rPr>
        <w:t>（详见附表三、2025年政府性基金预算收支完成情况表）</w:t>
      </w:r>
    </w:p>
    <w:p>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（三）社会保险基金预算执行预计情况</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到年末，社保基金预算收入预计完成79,071万元，支出预计完成75,487万元，本年收支结余3,186万元，年末滚存结余31,552万元，实现收支平衡。</w:t>
      </w:r>
      <w:r>
        <w:rPr>
          <w:rFonts w:hint="eastAsia" w:ascii="仿宋" w:hAnsi="仿宋" w:eastAsia="仿宋"/>
          <w:color w:val="000000"/>
          <w:kern w:val="0"/>
          <w:szCs w:val="32"/>
          <w:shd w:val="clear" w:color="auto" w:fill="FFFFFF"/>
        </w:rPr>
        <w:t>（详见附表四、2025年社会保险基金预算收支情况表）</w:t>
      </w:r>
    </w:p>
    <w:p>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（四）部门收支预算执行预计情况</w:t>
      </w:r>
    </w:p>
    <w:p>
      <w:pPr>
        <w:pStyle w:val="2"/>
        <w:spacing w:line="600" w:lineRule="exact"/>
        <w:ind w:firstLine="640" w:firstLineChars="200"/>
        <w:rPr>
          <w:rFonts w:hint="eastAsia" w:ascii="仿宋" w:hAnsi="仿宋" w:eastAsia="仿宋"/>
          <w:color w:val="000000"/>
          <w:kern w:val="0"/>
          <w:szCs w:val="32"/>
          <w:shd w:val="clear" w:color="auto" w:fill="FFFFFF"/>
        </w:rPr>
      </w:pPr>
      <w:r>
        <w:rPr>
          <w:rFonts w:hint="eastAsia" w:ascii="仿宋" w:hAnsi="仿宋" w:eastAsia="仿宋"/>
          <w:kern w:val="0"/>
          <w:szCs w:val="32"/>
        </w:rPr>
        <w:t>到年末，部门预算收入预计完成492,179万元，上年结余收入17,918万元，收入总计510,097万元。本年支出预计完成493,281万元，预留结余16,816万元用于结转下年支出，实现收支平衡。</w:t>
      </w:r>
      <w:r>
        <w:rPr>
          <w:rFonts w:hint="eastAsia" w:ascii="仿宋" w:hAnsi="仿宋" w:eastAsia="仿宋"/>
          <w:color w:val="000000"/>
          <w:kern w:val="0"/>
          <w:szCs w:val="32"/>
          <w:shd w:val="clear" w:color="auto" w:fill="FFFFFF"/>
        </w:rPr>
        <w:t>（详见附表五、2025年部门预算收支完成情况表）</w:t>
      </w:r>
    </w:p>
    <w:p>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（五）政府债务收支情况</w:t>
      </w:r>
    </w:p>
    <w:p>
      <w:pPr>
        <w:spacing w:line="600" w:lineRule="exact"/>
        <w:ind w:firstLine="640" w:firstLineChars="200"/>
        <w:rPr>
          <w:rFonts w:ascii="仿宋" w:hAnsi="仿宋" w:eastAsia="仿宋" w:cs="仿宋"/>
          <w:sz w:val="32"/>
          <w:szCs w:val="32"/>
        </w:rPr>
      </w:pPr>
      <w:r>
        <w:rPr>
          <w:rFonts w:hint="eastAsia" w:ascii="仿宋" w:hAnsi="仿宋" w:eastAsia="仿宋"/>
          <w:sz w:val="32"/>
          <w:szCs w:val="32"/>
        </w:rPr>
        <w:t>2025年，省核定</w:t>
      </w:r>
      <w:r>
        <w:rPr>
          <w:rFonts w:hint="eastAsia" w:ascii="仿宋" w:hAnsi="仿宋" w:eastAsia="仿宋" w:cs="仿宋"/>
          <w:sz w:val="32"/>
          <w:szCs w:val="32"/>
        </w:rPr>
        <w:t>我县地方政府债务限额为923,491万元，其中：一般债553,235万元，专项债370,256万元。2024年年末，我县地方政府法定债务余额为822,3</w:t>
      </w:r>
      <w:r>
        <w:rPr>
          <w:rFonts w:hint="eastAsia" w:ascii="仿宋" w:hAnsi="仿宋" w:eastAsia="仿宋"/>
          <w:sz w:val="32"/>
          <w:szCs w:val="32"/>
        </w:rPr>
        <w:t>00万元，其中：一般债务余额为504,779万元，专项债务余额为317,521万元。</w:t>
      </w:r>
      <w:r>
        <w:rPr>
          <w:rFonts w:hint="eastAsia" w:ascii="仿宋" w:hAnsi="仿宋" w:eastAsia="仿宋" w:cs="仿宋"/>
          <w:sz w:val="32"/>
          <w:szCs w:val="32"/>
        </w:rPr>
        <w:t>2025年，新增地方政府法定债务97,611万元，其中：新增一般债务45,921万元，新增专项债务51,690万元。2025年，再融资偿还到期法定债务41,380万元，其中：一般债务39,760万元，专项债务1,620万元；县级财力偿还到期法定债务4,155万元，其中：一般债务4,150万元，专项债务5万元。2025年，发行专项债券置换其他债务1,045万元。到年末，预计我县地方政府法定债务余额916,801万元，其中：一般债务余额为546,550万元，专项债务余额为370,251万元。</w:t>
      </w:r>
    </w:p>
    <w:p>
      <w:pPr>
        <w:pStyle w:val="2"/>
        <w:spacing w:line="600" w:lineRule="exact"/>
        <w:ind w:firstLine="640" w:firstLineChars="200"/>
        <w:rPr>
          <w:rFonts w:ascii="黑体" w:hAnsi="黑体" w:eastAsia="黑体" w:cs="黑体"/>
          <w:bCs/>
          <w:kern w:val="0"/>
          <w:szCs w:val="32"/>
        </w:rPr>
      </w:pPr>
      <w:r>
        <w:rPr>
          <w:rFonts w:hint="eastAsia" w:ascii="黑体" w:hAnsi="黑体" w:eastAsia="黑体" w:cs="黑体"/>
          <w:bCs/>
          <w:kern w:val="0"/>
          <w:szCs w:val="32"/>
        </w:rPr>
        <w:t>二、2025年主要工作</w:t>
      </w:r>
    </w:p>
    <w:p>
      <w:pPr>
        <w:ind w:firstLine="624" w:firstLineChars="200"/>
        <w:rPr>
          <w:rFonts w:hint="eastAsia" w:ascii="楷体" w:hAnsi="楷体" w:eastAsia="楷体" w:cs="楷体_GB2312"/>
          <w:b/>
          <w:bCs w:val="0"/>
          <w:spacing w:val="-4"/>
          <w:kern w:val="0"/>
        </w:rPr>
      </w:pPr>
      <w:r>
        <w:rPr>
          <w:rFonts w:hint="eastAsia" w:ascii="仿宋" w:hAnsi="仿宋" w:eastAsia="仿宋"/>
          <w:spacing w:val="-4"/>
          <w:kern w:val="0"/>
          <w:sz w:val="32"/>
          <w:szCs w:val="32"/>
        </w:rPr>
        <w:t>根据202</w:t>
      </w:r>
      <w:r>
        <w:rPr>
          <w:rFonts w:hint="eastAsia" w:ascii="仿宋" w:hAnsi="仿宋" w:eastAsia="仿宋"/>
          <w:spacing w:val="-4"/>
          <w:kern w:val="0"/>
          <w:sz w:val="32"/>
          <w:szCs w:val="32"/>
          <w:lang w:val="en-US" w:eastAsia="zh-CN"/>
        </w:rPr>
        <w:t>5</w:t>
      </w:r>
      <w:r>
        <w:rPr>
          <w:rFonts w:hint="eastAsia" w:ascii="仿宋" w:hAnsi="仿宋" w:eastAsia="仿宋"/>
          <w:spacing w:val="-4"/>
          <w:kern w:val="0"/>
          <w:sz w:val="32"/>
          <w:szCs w:val="32"/>
        </w:rPr>
        <w:t>年全县财政工作指导思想，我们将着力做好以下工作：</w:t>
      </w:r>
    </w:p>
    <w:p>
      <w:pPr>
        <w:pStyle w:val="2"/>
        <w:spacing w:line="600" w:lineRule="exact"/>
        <w:ind w:firstLine="627" w:firstLineChars="200"/>
        <w:rPr>
          <w:rFonts w:ascii="仿宋" w:hAnsi="仿宋" w:eastAsia="仿宋" w:cs="仿宋"/>
          <w:spacing w:val="-4"/>
          <w:kern w:val="0"/>
          <w:szCs w:val="32"/>
        </w:rPr>
      </w:pPr>
      <w:r>
        <w:rPr>
          <w:rFonts w:hint="eastAsia" w:ascii="楷体" w:hAnsi="楷体" w:eastAsia="楷体" w:cs="楷体"/>
          <w:b/>
          <w:bCs w:val="0"/>
          <w:spacing w:val="-4"/>
          <w:kern w:val="0"/>
          <w:lang w:eastAsia="zh-CN"/>
        </w:rPr>
        <w:t>一是</w:t>
      </w:r>
      <w:r>
        <w:rPr>
          <w:rFonts w:hint="eastAsia" w:ascii="楷体" w:hAnsi="楷体" w:eastAsia="楷体" w:cs="楷体"/>
          <w:b/>
          <w:bCs w:val="0"/>
          <w:spacing w:val="-4"/>
          <w:kern w:val="0"/>
        </w:rPr>
        <w:t>加强</w:t>
      </w:r>
      <w:r>
        <w:rPr>
          <w:rFonts w:hint="eastAsia" w:ascii="楷体" w:hAnsi="楷体" w:eastAsia="楷体" w:cs="楷体"/>
          <w:b/>
          <w:bCs w:val="0"/>
          <w:spacing w:val="-4"/>
          <w:kern w:val="0"/>
          <w:szCs w:val="32"/>
        </w:rPr>
        <w:t>财政收入管理，保证地方财力平稳。</w:t>
      </w:r>
      <w:r>
        <w:rPr>
          <w:rFonts w:hint="eastAsia" w:ascii="仿宋" w:hAnsi="仿宋" w:eastAsia="仿宋" w:cs="仿宋"/>
          <w:spacing w:val="-4"/>
          <w:kern w:val="0"/>
        </w:rPr>
        <w:t>理顺促进财政收入增收的工作机制，分类推进组织落实，加强收入组织监测，强化执行分析，提高收入质量。推动开展涉财涉税数据的常态化共享，充分发挥联合会商制度作用，认真研判分行业发展水平与税收收入增速的差异，精准稳妥施策，营造公平税赋环境。把依托行政权力、政府信用、国有资源资产获取的收入全部纳入政府预算管理，增加政府可用财力。加强国有资源资产管理，规范开展资产盘活，提高国有资源、资产利用率，依法依规处置闲置资源资产，防止国有资产流失。</w:t>
      </w:r>
    </w:p>
    <w:p>
      <w:pPr>
        <w:pStyle w:val="2"/>
        <w:spacing w:line="600" w:lineRule="exact"/>
        <w:ind w:firstLine="627" w:firstLineChars="200"/>
        <w:rPr>
          <w:rFonts w:ascii="仿宋" w:hAnsi="仿宋" w:eastAsia="仿宋" w:cs="楷体"/>
          <w:color w:val="000000"/>
          <w:spacing w:val="-4"/>
          <w:kern w:val="0"/>
          <w:szCs w:val="32"/>
        </w:rPr>
      </w:pPr>
      <w:r>
        <w:rPr>
          <w:rFonts w:hint="eastAsia" w:ascii="楷体" w:hAnsi="楷体" w:eastAsia="楷体" w:cs="楷体"/>
          <w:b/>
          <w:color w:val="000000"/>
          <w:spacing w:val="-4"/>
          <w:kern w:val="0"/>
          <w:szCs w:val="32"/>
          <w:lang w:eastAsia="zh-CN"/>
        </w:rPr>
        <w:t>二是</w:t>
      </w:r>
      <w:r>
        <w:rPr>
          <w:rFonts w:hint="eastAsia" w:ascii="楷体" w:hAnsi="楷体" w:eastAsia="楷体" w:cs="楷体"/>
          <w:b/>
          <w:color w:val="000000"/>
          <w:spacing w:val="-4"/>
          <w:kern w:val="0"/>
          <w:szCs w:val="32"/>
        </w:rPr>
        <w:t>优化支出结构，各项重点支出得到保障。</w:t>
      </w:r>
      <w:r>
        <w:rPr>
          <w:rFonts w:hint="eastAsia" w:ascii="仿宋" w:hAnsi="仿宋" w:eastAsia="仿宋" w:cs="楷体"/>
          <w:color w:val="000000"/>
          <w:spacing w:val="-4"/>
          <w:kern w:val="0"/>
          <w:szCs w:val="32"/>
        </w:rPr>
        <w:t>将“三保”摆在财政工作的最优先位置，坚持“头保”理念，明职责、优机制、强管理、防风险，切实兜牢“三保”底线。构建有保有压、突出重点、统筹有力的预算安排机制，预算优先保障工资、基本民生、机构运转等重点刚性支出。实行“三保+”资金专账管理，按月及时将“三保+”资金归集专账，通过预算管理一体化系统标识控制，实现“三保+”专账资金封闭管理、系统控制、专款专用、足额拨付。坚持党政机关习惯过紧日子，大力压减会议费、培训费等一般性支出。</w:t>
      </w:r>
    </w:p>
    <w:p>
      <w:pPr>
        <w:pStyle w:val="2"/>
        <w:spacing w:line="600" w:lineRule="exact"/>
        <w:ind w:firstLine="627" w:firstLineChars="200"/>
        <w:rPr>
          <w:rFonts w:ascii="仿宋" w:hAnsi="仿宋" w:eastAsia="仿宋" w:cs="楷体_GB2312"/>
          <w:spacing w:val="-4"/>
          <w:kern w:val="0"/>
        </w:rPr>
      </w:pPr>
      <w:r>
        <w:rPr>
          <w:rFonts w:hint="eastAsia" w:ascii="楷体" w:hAnsi="楷体" w:eastAsia="楷体" w:cs="楷体_GB2312"/>
          <w:b/>
          <w:spacing w:val="-4"/>
          <w:kern w:val="0"/>
          <w:lang w:eastAsia="zh-CN"/>
        </w:rPr>
        <w:t>三是</w:t>
      </w:r>
      <w:r>
        <w:rPr>
          <w:rFonts w:hint="eastAsia" w:ascii="楷体" w:hAnsi="楷体" w:eastAsia="楷体" w:cs="楷体_GB2312"/>
          <w:b/>
          <w:spacing w:val="-4"/>
          <w:kern w:val="0"/>
        </w:rPr>
        <w:t>统筹财政资金，支持保障和改善民生。</w:t>
      </w:r>
      <w:r>
        <w:rPr>
          <w:rFonts w:hint="eastAsia" w:ascii="仿宋" w:hAnsi="仿宋" w:eastAsia="仿宋" w:cs="楷体_GB2312"/>
          <w:spacing w:val="-4"/>
          <w:kern w:val="0"/>
        </w:rPr>
        <w:t>统筹一般公共预算地方级收入、一般性转移支付、政府性基金预算收入，加大对保障和改善民生投入。城乡义务教育经费、家庭经济困难学生资助、城乡居民最低生活保障、特困人员救助供养、残疾人补贴、城乡居民基本养老保险、企业职工养老保险、机关事业单位养老保险、就业、优抚对象抚恤和生活补助、城乡居民基本医疗保险、计划生育、城乡医疗救助、基本城市运维等重点基本民生支出得到有效保障，全年民生支出占预算支出比重超过85%。</w:t>
      </w:r>
    </w:p>
    <w:p>
      <w:pPr>
        <w:pStyle w:val="2"/>
        <w:spacing w:line="600" w:lineRule="exact"/>
        <w:ind w:firstLine="627" w:firstLineChars="200"/>
        <w:rPr>
          <w:rFonts w:ascii="仿宋" w:hAnsi="仿宋" w:eastAsia="仿宋"/>
          <w:spacing w:val="-4"/>
          <w:kern w:val="0"/>
          <w:szCs w:val="32"/>
        </w:rPr>
      </w:pPr>
      <w:r>
        <w:rPr>
          <w:rFonts w:hint="eastAsia" w:ascii="楷体" w:hAnsi="楷体" w:eastAsia="楷体"/>
          <w:b/>
          <w:spacing w:val="-4"/>
          <w:kern w:val="0"/>
          <w:szCs w:val="32"/>
          <w:lang w:eastAsia="zh-CN"/>
        </w:rPr>
        <w:t>四是</w:t>
      </w:r>
      <w:r>
        <w:rPr>
          <w:rFonts w:hint="eastAsia" w:ascii="楷体" w:hAnsi="楷体" w:eastAsia="楷体"/>
          <w:b/>
          <w:spacing w:val="-4"/>
          <w:kern w:val="0"/>
          <w:szCs w:val="32"/>
        </w:rPr>
        <w:t>深化零基预算改革，切实提升财政政策资金效能。</w:t>
      </w:r>
      <w:r>
        <w:rPr>
          <w:rFonts w:hint="eastAsia" w:ascii="仿宋" w:hAnsi="仿宋" w:eastAsia="仿宋"/>
          <w:spacing w:val="-4"/>
          <w:kern w:val="0"/>
          <w:szCs w:val="32"/>
        </w:rPr>
        <w:t>改革预算编制方式、加强财政资源统筹、深化配套制度改革、严格规范预算管理，深化零基预算改革。全面评估现行支出政策和项目，无必要实施的，坚决取消；超出财政承受能力、效益不高的，调整优化；打破部门预算基数，不再采取“基数+增长”方式安排部门预算，所有支出预算以零为起点，人员经费预算按工资标准、人数等因素据实编制，运转支出预算主要采取定员定额方式编制，一年一核、能增能减。在打破“基数”的同时，加强财政资源统筹和科学分配，集中财力保重点。</w:t>
      </w:r>
    </w:p>
    <w:p>
      <w:pPr>
        <w:spacing w:line="600" w:lineRule="exact"/>
        <w:ind w:firstLine="633" w:firstLineChars="198"/>
        <w:rPr>
          <w:rFonts w:ascii="仿宋" w:hAnsi="仿宋" w:eastAsia="仿宋"/>
          <w:kern w:val="0"/>
          <w:sz w:val="32"/>
          <w:szCs w:val="32"/>
          <w:shd w:val="clear" w:color="auto" w:fill="FFFFFF"/>
        </w:rPr>
      </w:pPr>
      <w:r>
        <w:rPr>
          <w:rFonts w:hint="eastAsia" w:ascii="仿宋" w:hAnsi="仿宋" w:eastAsia="仿宋"/>
          <w:kern w:val="0"/>
          <w:sz w:val="32"/>
          <w:szCs w:val="32"/>
        </w:rPr>
        <w:t>各位代表，2025年财政面临的形势更加严峻，减收因素增多，重点刚性支出需求持续增大，财政处于紧平衡状态。</w:t>
      </w:r>
      <w:r>
        <w:rPr>
          <w:rFonts w:hint="eastAsia" w:ascii="仿宋" w:hAnsi="仿宋" w:eastAsia="仿宋"/>
          <w:kern w:val="0"/>
          <w:sz w:val="32"/>
          <w:szCs w:val="32"/>
          <w:shd w:val="clear" w:color="auto" w:fill="FFFFFF"/>
        </w:rPr>
        <w:t>对此，在新年度我们要进一步加大工作力度，采取有效措施，着力化解财政运行中存在的困难和问题。</w:t>
      </w:r>
    </w:p>
    <w:p>
      <w:pPr>
        <w:pStyle w:val="2"/>
        <w:spacing w:line="600" w:lineRule="exact"/>
        <w:ind w:firstLine="640" w:firstLineChars="200"/>
        <w:rPr>
          <w:rFonts w:ascii="黑体" w:hAnsi="黑体" w:eastAsia="黑体" w:cs="黑体"/>
          <w:bCs/>
          <w:color w:val="000000"/>
          <w:kern w:val="0"/>
          <w:szCs w:val="32"/>
          <w:shd w:val="clear" w:color="auto" w:fill="FFFFFF"/>
        </w:rPr>
      </w:pPr>
      <w:r>
        <w:rPr>
          <w:rFonts w:hint="eastAsia" w:ascii="黑体" w:hAnsi="黑体" w:eastAsia="黑体" w:cs="黑体"/>
          <w:bCs/>
          <w:color w:val="000000"/>
          <w:kern w:val="0"/>
          <w:szCs w:val="32"/>
          <w:shd w:val="clear" w:color="auto" w:fill="FFFFFF"/>
        </w:rPr>
        <w:t>三、2026年全县预算草案</w:t>
      </w:r>
    </w:p>
    <w:p>
      <w:pPr>
        <w:pStyle w:val="2"/>
        <w:spacing w:line="600" w:lineRule="exact"/>
        <w:ind w:firstLine="624" w:firstLineChars="200"/>
        <w:rPr>
          <w:rFonts w:ascii="仿宋" w:hAnsi="仿宋" w:eastAsia="仿宋"/>
          <w:spacing w:val="-4"/>
          <w:kern w:val="0"/>
          <w:szCs w:val="32"/>
        </w:rPr>
      </w:pPr>
      <w:r>
        <w:rPr>
          <w:rFonts w:hint="eastAsia" w:ascii="仿宋" w:hAnsi="仿宋" w:eastAsia="仿宋"/>
          <w:spacing w:val="-4"/>
          <w:kern w:val="0"/>
          <w:szCs w:val="32"/>
        </w:rPr>
        <w:t>根据县委对财政工作的总体部署和要求，2026年全县财政工作的指导思想是：坚持以习近平新时代中国特色社会主义思想为指导，全面贯彻落实党的二十届四中全会精神，根据县委经济工作总体部署，继续实施更加积极的财政政策，完整、准确、全面贯彻新发展理念，加快构建新发展格局，着力推动高质量发展，充分发挥财政在国家治理中的基础和重要支柱作用，不断健全完整规范、科学高效、保障有力、约束严格、持续安全的现代预算制度，为推动伊通高质量发展提供有力财政支撑。</w:t>
      </w:r>
    </w:p>
    <w:p>
      <w:pPr>
        <w:pStyle w:val="2"/>
        <w:spacing w:line="600" w:lineRule="exact"/>
        <w:ind w:firstLine="624" w:firstLineChars="200"/>
        <w:rPr>
          <w:rFonts w:ascii="仿宋" w:hAnsi="仿宋" w:eastAsia="仿宋"/>
          <w:spacing w:val="-4"/>
          <w:kern w:val="0"/>
          <w:szCs w:val="32"/>
        </w:rPr>
      </w:pPr>
      <w:r>
        <w:rPr>
          <w:rFonts w:hint="eastAsia" w:ascii="仿宋" w:hAnsi="仿宋" w:eastAsia="仿宋" w:cs="Tahoma"/>
          <w:spacing w:val="-4"/>
          <w:kern w:val="0"/>
          <w:szCs w:val="32"/>
        </w:rPr>
        <w:t>按照上述指导思想，</w:t>
      </w:r>
      <w:r>
        <w:rPr>
          <w:rFonts w:hint="eastAsia" w:ascii="仿宋" w:hAnsi="仿宋" w:eastAsia="仿宋"/>
          <w:spacing w:val="-4"/>
          <w:kern w:val="0"/>
          <w:szCs w:val="32"/>
        </w:rPr>
        <w:t>对2026年一般公共预算、政府性基金预算、国有资本经营预算和社会保险基金预算安排如下：</w:t>
      </w:r>
    </w:p>
    <w:p>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（一）一般公共预算收支安排</w:t>
      </w:r>
    </w:p>
    <w:p>
      <w:pPr>
        <w:pStyle w:val="2"/>
        <w:spacing w:line="600" w:lineRule="exact"/>
        <w:ind w:firstLine="643" w:firstLineChars="200"/>
        <w:rPr>
          <w:rFonts w:ascii="仿宋" w:hAnsi="仿宋" w:eastAsia="仿宋"/>
          <w:b/>
          <w:bCs/>
          <w:kern w:val="0"/>
          <w:szCs w:val="32"/>
        </w:rPr>
      </w:pPr>
      <w:r>
        <w:rPr>
          <w:rFonts w:hint="eastAsia" w:ascii="仿宋" w:hAnsi="仿宋" w:eastAsia="仿宋"/>
          <w:b/>
          <w:bCs/>
          <w:kern w:val="0"/>
          <w:szCs w:val="32"/>
        </w:rPr>
        <w:t>1.一般公共预算收入</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全口径收入计划64,200万元，比上年实际增长5.1%，其中：税收收入52,300万元，比上年实际增长5%；非税收入11,900万元，比上年实际增长5.3%，占收入总额的18.5%。一般公共预算地方级收入计划31,600万元，比上年实际增长5%，其中：税收收入19,900万元，上年实际增长4.7%；非税收入11</w:t>
      </w:r>
      <w:r>
        <w:rPr>
          <w:rFonts w:hint="eastAsia" w:ascii="仿宋" w:hAnsi="仿宋" w:eastAsia="仿宋"/>
          <w:kern w:val="0"/>
          <w:szCs w:val="32"/>
          <w:lang w:val="en-US" w:eastAsia="zh-CN"/>
        </w:rPr>
        <w:t>,</w:t>
      </w:r>
      <w:r>
        <w:rPr>
          <w:rFonts w:hint="eastAsia" w:ascii="仿宋" w:hAnsi="仿宋" w:eastAsia="仿宋"/>
          <w:kern w:val="0"/>
          <w:szCs w:val="32"/>
        </w:rPr>
        <w:t>700万元，比上年实际增长5.4%，占收入总额的37%。收入计划安排主要是根据2025年实际收入情况、落实国家减税降费政策、地方税源建设情况以及规范政府收入预算管理要求等。（详见附表</w:t>
      </w:r>
      <w:r>
        <w:rPr>
          <w:rFonts w:hint="eastAsia" w:ascii="仿宋" w:hAnsi="仿宋" w:eastAsia="仿宋"/>
          <w:kern w:val="0"/>
          <w:szCs w:val="32"/>
          <w:lang w:eastAsia="zh-CN"/>
        </w:rPr>
        <w:t>六</w:t>
      </w:r>
      <w:r>
        <w:rPr>
          <w:rFonts w:hint="eastAsia" w:ascii="仿宋" w:hAnsi="仿宋" w:eastAsia="仿宋"/>
          <w:kern w:val="0"/>
          <w:szCs w:val="32"/>
        </w:rPr>
        <w:t>、2026年一般公共收入预算表）</w:t>
      </w:r>
    </w:p>
    <w:p>
      <w:pPr>
        <w:pStyle w:val="2"/>
        <w:spacing w:line="600" w:lineRule="exact"/>
        <w:ind w:firstLine="643" w:firstLineChars="200"/>
        <w:rPr>
          <w:rFonts w:ascii="仿宋" w:hAnsi="仿宋" w:eastAsia="仿宋"/>
          <w:b/>
          <w:bCs/>
          <w:kern w:val="0"/>
          <w:szCs w:val="32"/>
        </w:rPr>
      </w:pPr>
      <w:r>
        <w:rPr>
          <w:rFonts w:hint="eastAsia" w:ascii="仿宋" w:hAnsi="仿宋" w:eastAsia="仿宋"/>
          <w:b/>
          <w:bCs/>
          <w:kern w:val="0"/>
          <w:szCs w:val="32"/>
        </w:rPr>
        <w:t>2.一般公共预算支出</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2026年，全县一般公共预算财政支出计划355,900万元，比上年计划增长8.6%，支出增长的主要原因是三保等重点支出增加。各项重点支出安排如下：</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（1）教育支出58,949万元，比上年计划增长3.4%。</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（2）科学技术支出129万元，比上年计划增长18.3%。</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（3）文化</w:t>
      </w:r>
      <w:r>
        <w:rPr>
          <w:rFonts w:hint="eastAsia" w:ascii="仿宋" w:hAnsi="仿宋" w:eastAsia="仿宋"/>
          <w:kern w:val="0"/>
          <w:szCs w:val="32"/>
          <w:lang w:eastAsia="zh-CN"/>
        </w:rPr>
        <w:t>旅游</w:t>
      </w:r>
      <w:r>
        <w:rPr>
          <w:rFonts w:hint="eastAsia" w:ascii="仿宋" w:hAnsi="仿宋" w:eastAsia="仿宋"/>
          <w:kern w:val="0"/>
          <w:szCs w:val="32"/>
        </w:rPr>
        <w:t>体育与传媒支出3,024万元，比上年计划增长8.7%。</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（4）社会保障和就业支出93,087万元，比上年计划增长5.9%。</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（5）卫生健康支出32,989万元，比上年计划增长25.8%。</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（6）节能环保支出4,863万元，比上年计划增长84.3%。</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（7）农林水支出60,588万元，比上年计划下降6%。下降主要原因提前下达专项指标减少。</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（8）住房保障支出12,604万元，比上年计划增长9.3%。</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2026年，全县一般公共预算收入总计为366,077万元，其中：一般公共预算地方级收入为31,600万元，需要上级补助收入为287,200万元，调入资金40,386万元，上年结转收入6,891</w:t>
      </w:r>
      <w:r>
        <w:rPr>
          <w:rFonts w:hint="eastAsia" w:ascii="仿宋" w:hAnsi="仿宋" w:eastAsia="仿宋"/>
          <w:kern w:val="0"/>
          <w:szCs w:val="32"/>
          <w:lang w:eastAsia="zh-CN"/>
        </w:rPr>
        <w:t>万元</w:t>
      </w:r>
      <w:r>
        <w:rPr>
          <w:rFonts w:hint="eastAsia" w:ascii="仿宋" w:hAnsi="仿宋" w:eastAsia="仿宋"/>
          <w:kern w:val="0"/>
          <w:szCs w:val="32"/>
        </w:rPr>
        <w:t>。全县一般公共预算支出总计为366,077万元，收支平衡，其中：一般公共预算支出355,900万元，上解支出5,412万元，债务还本支出4,765万元。因2025年预算执行暂未完成，上年结转收入无法最后确定；2026年省补助提前下达指标未完全下达，上级补助收入无法完全统计，待上年结转指标确定、省补助提前下达指标全部下达后，将提请人大常委会调整预算。（详见附表</w:t>
      </w:r>
      <w:r>
        <w:rPr>
          <w:rFonts w:hint="eastAsia" w:ascii="仿宋" w:hAnsi="仿宋" w:eastAsia="仿宋"/>
          <w:kern w:val="0"/>
          <w:szCs w:val="32"/>
          <w:lang w:eastAsia="zh-CN"/>
        </w:rPr>
        <w:t>七</w:t>
      </w:r>
      <w:r>
        <w:rPr>
          <w:rFonts w:hint="eastAsia" w:ascii="仿宋" w:hAnsi="仿宋" w:eastAsia="仿宋"/>
          <w:kern w:val="0"/>
          <w:szCs w:val="32"/>
        </w:rPr>
        <w:t>、2026年一般公共预算支出预算表）</w:t>
      </w:r>
    </w:p>
    <w:p>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（二）政府性基金预算收支安排</w:t>
      </w:r>
    </w:p>
    <w:p>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2026年，政府性基金收入计划13,180万元，上年结余</w:t>
      </w:r>
      <w:r>
        <w:rPr>
          <w:rFonts w:hint="eastAsia" w:ascii="仿宋" w:hAnsi="仿宋" w:eastAsia="仿宋"/>
          <w:kern w:val="0"/>
          <w:szCs w:val="32"/>
          <w:lang w:val="en-US" w:eastAsia="zh-CN"/>
        </w:rPr>
        <w:t>83,913</w:t>
      </w:r>
      <w:r>
        <w:rPr>
          <w:rFonts w:hint="eastAsia" w:ascii="仿宋" w:hAnsi="仿宋" w:eastAsia="仿宋"/>
          <w:kern w:val="0"/>
          <w:szCs w:val="32"/>
        </w:rPr>
        <w:t>万元，上级补助收入1,387万元，政府性基金预算收入总计为</w:t>
      </w:r>
      <w:r>
        <w:rPr>
          <w:rFonts w:hint="eastAsia" w:ascii="仿宋" w:hAnsi="仿宋" w:eastAsia="仿宋"/>
          <w:kern w:val="0"/>
          <w:szCs w:val="32"/>
          <w:lang w:val="en-US" w:eastAsia="zh-CN"/>
        </w:rPr>
        <w:t>98,480</w:t>
      </w:r>
      <w:r>
        <w:rPr>
          <w:rFonts w:hint="eastAsia" w:ascii="仿宋" w:hAnsi="仿宋" w:eastAsia="仿宋"/>
          <w:kern w:val="0"/>
          <w:szCs w:val="32"/>
        </w:rPr>
        <w:t>万元。政府性基金预算支出计划</w:t>
      </w:r>
      <w:r>
        <w:rPr>
          <w:rFonts w:hint="eastAsia" w:ascii="仿宋" w:hAnsi="仿宋" w:eastAsia="仿宋"/>
          <w:kern w:val="0"/>
          <w:szCs w:val="32"/>
          <w:lang w:val="en-US" w:eastAsia="zh-CN"/>
        </w:rPr>
        <w:t>98,079</w:t>
      </w:r>
      <w:r>
        <w:rPr>
          <w:rFonts w:hint="eastAsia" w:ascii="仿宋" w:hAnsi="仿宋" w:eastAsia="仿宋"/>
          <w:kern w:val="0"/>
          <w:szCs w:val="32"/>
        </w:rPr>
        <w:t>万元，债务还本支出401万元，政府性基金预算支出总计</w:t>
      </w:r>
      <w:r>
        <w:rPr>
          <w:rFonts w:hint="eastAsia" w:ascii="仿宋" w:hAnsi="仿宋" w:eastAsia="仿宋"/>
          <w:kern w:val="0"/>
          <w:szCs w:val="32"/>
          <w:lang w:val="en-US" w:eastAsia="zh-CN"/>
        </w:rPr>
        <w:t>98,480</w:t>
      </w:r>
      <w:r>
        <w:rPr>
          <w:rFonts w:hint="eastAsia" w:ascii="仿宋" w:hAnsi="仿宋" w:eastAsia="仿宋"/>
          <w:kern w:val="0"/>
          <w:szCs w:val="32"/>
        </w:rPr>
        <w:t>万元，收支平衡。（详见附表</w:t>
      </w:r>
      <w:r>
        <w:rPr>
          <w:rFonts w:hint="eastAsia" w:ascii="仿宋" w:hAnsi="仿宋" w:eastAsia="仿宋"/>
          <w:kern w:val="0"/>
          <w:szCs w:val="32"/>
          <w:lang w:eastAsia="zh-CN"/>
        </w:rPr>
        <w:t>八</w:t>
      </w:r>
      <w:r>
        <w:rPr>
          <w:rFonts w:hint="eastAsia" w:ascii="仿宋" w:hAnsi="仿宋" w:eastAsia="仿宋"/>
          <w:kern w:val="0"/>
          <w:szCs w:val="32"/>
        </w:rPr>
        <w:t>、2026年政府性基金收支预算表）</w:t>
      </w:r>
      <w:bookmarkStart w:id="0" w:name="_GoBack"/>
      <w:bookmarkEnd w:id="0"/>
    </w:p>
    <w:p>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（三）国有资本经营预算收支安排</w:t>
      </w:r>
    </w:p>
    <w:p>
      <w:pPr>
        <w:pStyle w:val="2"/>
        <w:spacing w:line="600" w:lineRule="exact"/>
        <w:ind w:firstLine="480" w:firstLineChars="150"/>
        <w:rPr>
          <w:rFonts w:ascii="仿宋" w:hAnsi="仿宋" w:eastAsia="仿宋"/>
          <w:color w:val="000000"/>
          <w:kern w:val="0"/>
          <w:szCs w:val="32"/>
        </w:rPr>
      </w:pPr>
      <w:r>
        <w:rPr>
          <w:rFonts w:hint="eastAsia" w:ascii="仿宋" w:hAnsi="仿宋" w:eastAsia="仿宋"/>
          <w:color w:val="000000"/>
          <w:kern w:val="0"/>
          <w:szCs w:val="32"/>
        </w:rPr>
        <w:t>2026年全县国有资本经营预算收入计划100万元，调入一般公共预算弥补财力，收支平衡。</w:t>
      </w:r>
      <w:r>
        <w:rPr>
          <w:rFonts w:hint="eastAsia" w:ascii="仿宋" w:hAnsi="仿宋" w:eastAsia="仿宋"/>
          <w:spacing w:val="-4"/>
          <w:kern w:val="0"/>
          <w:szCs w:val="32"/>
        </w:rPr>
        <w:t>（</w:t>
      </w:r>
      <w:r>
        <w:rPr>
          <w:rFonts w:hint="eastAsia" w:ascii="仿宋" w:hAnsi="仿宋" w:eastAsia="仿宋"/>
          <w:kern w:val="0"/>
          <w:szCs w:val="32"/>
        </w:rPr>
        <w:t>详见附表</w:t>
      </w:r>
      <w:r>
        <w:rPr>
          <w:rFonts w:hint="eastAsia" w:ascii="仿宋" w:hAnsi="仿宋" w:eastAsia="仿宋"/>
          <w:kern w:val="0"/>
          <w:szCs w:val="32"/>
          <w:lang w:eastAsia="zh-CN"/>
        </w:rPr>
        <w:t>九</w:t>
      </w:r>
      <w:r>
        <w:rPr>
          <w:rFonts w:hint="eastAsia" w:ascii="仿宋" w:hAnsi="仿宋" w:eastAsia="仿宋"/>
          <w:kern w:val="0"/>
          <w:szCs w:val="32"/>
        </w:rPr>
        <w:t>、2026年国有资本经营收支预算情况表）</w:t>
      </w:r>
    </w:p>
    <w:p>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（四）社会保险基金预算收支安排</w:t>
      </w:r>
    </w:p>
    <w:p>
      <w:pPr>
        <w:pStyle w:val="2"/>
        <w:spacing w:line="600" w:lineRule="exact"/>
        <w:ind w:firstLine="480" w:firstLineChars="150"/>
        <w:rPr>
          <w:rFonts w:ascii="仿宋" w:hAnsi="仿宋" w:eastAsia="仿宋"/>
          <w:color w:val="000000"/>
          <w:kern w:val="0"/>
          <w:szCs w:val="32"/>
        </w:rPr>
      </w:pPr>
      <w:r>
        <w:rPr>
          <w:rFonts w:hint="eastAsia" w:ascii="仿宋" w:hAnsi="仿宋" w:eastAsia="仿宋"/>
          <w:color w:val="000000"/>
          <w:kern w:val="0"/>
          <w:szCs w:val="32"/>
        </w:rPr>
        <w:t>2026年全县社保基金收入计划83,633万元，其中：保险费收入27,250万元，补贴收入55,106万元。2026年全县社保基金支出计划80,447万元，滚存下年33</w:t>
      </w:r>
      <w:r>
        <w:rPr>
          <w:rFonts w:hint="eastAsia" w:ascii="仿宋" w:hAnsi="仿宋" w:eastAsia="仿宋"/>
          <w:color w:val="000000"/>
          <w:kern w:val="0"/>
          <w:szCs w:val="32"/>
          <w:lang w:val="en-US" w:eastAsia="zh-CN"/>
        </w:rPr>
        <w:t>,</w:t>
      </w:r>
      <w:r>
        <w:rPr>
          <w:rFonts w:hint="eastAsia" w:ascii="仿宋" w:hAnsi="仿宋" w:eastAsia="仿宋"/>
          <w:color w:val="000000"/>
          <w:kern w:val="0"/>
          <w:szCs w:val="32"/>
        </w:rPr>
        <w:t>936万元，收支平衡。</w:t>
      </w:r>
      <w:r>
        <w:rPr>
          <w:rFonts w:hint="eastAsia" w:ascii="仿宋" w:hAnsi="仿宋" w:eastAsia="仿宋"/>
          <w:spacing w:val="-4"/>
          <w:kern w:val="0"/>
          <w:szCs w:val="32"/>
        </w:rPr>
        <w:t>（</w:t>
      </w:r>
      <w:r>
        <w:rPr>
          <w:rFonts w:hint="eastAsia" w:ascii="仿宋" w:hAnsi="仿宋" w:eastAsia="仿宋"/>
          <w:kern w:val="0"/>
          <w:szCs w:val="32"/>
        </w:rPr>
        <w:t>详见附表十、2026年社保基金收支预算情况表）</w:t>
      </w:r>
    </w:p>
    <w:p>
      <w:pPr>
        <w:pStyle w:val="2"/>
        <w:spacing w:line="600" w:lineRule="exact"/>
        <w:ind w:firstLine="640" w:firstLineChars="200"/>
        <w:rPr>
          <w:rFonts w:ascii="楷体" w:hAnsi="楷体" w:eastAsia="楷体"/>
          <w:b/>
          <w:color w:val="000000"/>
          <w:kern w:val="0"/>
          <w:szCs w:val="32"/>
        </w:rPr>
      </w:pPr>
      <w:r>
        <w:rPr>
          <w:rFonts w:hint="eastAsia" w:ascii="黑体" w:hAnsi="黑体" w:eastAsia="黑体" w:cs="黑体"/>
          <w:bCs/>
          <w:color w:val="000000"/>
          <w:kern w:val="0"/>
          <w:szCs w:val="32"/>
        </w:rPr>
        <w:t>四、2026年重点工作安排</w:t>
      </w:r>
    </w:p>
    <w:p>
      <w:pPr>
        <w:spacing w:line="600" w:lineRule="exact"/>
        <w:ind w:firstLine="624" w:firstLineChars="200"/>
        <w:rPr>
          <w:rFonts w:ascii="仿宋" w:hAnsi="仿宋" w:eastAsia="仿宋"/>
          <w:spacing w:val="-4"/>
          <w:kern w:val="0"/>
          <w:sz w:val="32"/>
          <w:szCs w:val="32"/>
        </w:rPr>
      </w:pPr>
      <w:r>
        <w:rPr>
          <w:rFonts w:hint="eastAsia" w:ascii="仿宋" w:hAnsi="仿宋" w:eastAsia="仿宋"/>
          <w:spacing w:val="-4"/>
          <w:kern w:val="0"/>
          <w:sz w:val="32"/>
          <w:szCs w:val="32"/>
        </w:rPr>
        <w:t>根据2026年全县财政工作指导思想，我们将着力做好以下工作：</w:t>
      </w:r>
    </w:p>
    <w:p>
      <w:pPr>
        <w:pStyle w:val="2"/>
        <w:spacing w:line="600" w:lineRule="exact"/>
        <w:ind w:firstLine="627" w:firstLineChars="200"/>
        <w:rPr>
          <w:rFonts w:ascii="仿宋" w:hAnsi="仿宋" w:eastAsia="仿宋" w:cs="仿宋"/>
          <w:spacing w:val="-4"/>
          <w:kern w:val="0"/>
        </w:rPr>
      </w:pPr>
      <w:r>
        <w:rPr>
          <w:rFonts w:hint="eastAsia" w:ascii="楷体" w:hAnsi="楷体" w:eastAsia="楷体" w:cs="楷体_GB2312"/>
          <w:b/>
          <w:spacing w:val="-4"/>
          <w:kern w:val="0"/>
        </w:rPr>
        <w:t>一是科学组织财政收入，不断提高收入质量</w:t>
      </w:r>
      <w:r>
        <w:rPr>
          <w:rFonts w:hint="eastAsia" w:ascii="楷体" w:hAnsi="楷体" w:eastAsia="楷体" w:cs="楷体"/>
          <w:b/>
          <w:bCs/>
          <w:spacing w:val="-4"/>
          <w:kern w:val="0"/>
          <w:szCs w:val="32"/>
        </w:rPr>
        <w:t>。</w:t>
      </w:r>
      <w:r>
        <w:rPr>
          <w:rFonts w:hint="eastAsia" w:ascii="仿宋" w:hAnsi="仿宋" w:eastAsia="仿宋" w:cs="仿宋"/>
          <w:spacing w:val="-4"/>
          <w:kern w:val="0"/>
        </w:rPr>
        <w:t>合理设定年度收入预期，充分发挥财政部门在确定收入预期目标中的牵头主导作用、在组织收入中的激励督导作用，在收入管理科学化、精细化上下功夫，提高收入质量。积极增加税收收入，畅通信息共享，发挥数据资源共享优势，加大分析研判力度，为组织收入提供有力支撑；强化税收征管，开展税收常态化监测，确保应收尽收。着力稳定非税收入，推进资产盘活利用，研究资产盘活有效路径，最大程度发挥资产资源应有价值；规范非税收入管理，加强零散收入征管，实现应收尽收。</w:t>
      </w:r>
    </w:p>
    <w:p>
      <w:pPr>
        <w:pStyle w:val="2"/>
        <w:spacing w:line="600" w:lineRule="exact"/>
        <w:ind w:firstLine="627" w:firstLineChars="200"/>
        <w:rPr>
          <w:rFonts w:ascii="仿宋" w:hAnsi="仿宋" w:eastAsia="仿宋" w:cs="楷体"/>
          <w:color w:val="000000"/>
          <w:spacing w:val="-4"/>
          <w:kern w:val="0"/>
          <w:szCs w:val="32"/>
        </w:rPr>
      </w:pPr>
      <w:r>
        <w:rPr>
          <w:rFonts w:hint="eastAsia" w:ascii="楷体" w:hAnsi="楷体" w:eastAsia="楷体" w:cs="楷体_GB2312"/>
          <w:b/>
          <w:spacing w:val="-4"/>
          <w:kern w:val="0"/>
        </w:rPr>
        <w:t>二是严格控制一般性支出，全力保障重点支出需要</w:t>
      </w:r>
      <w:r>
        <w:rPr>
          <w:rFonts w:hint="eastAsia" w:ascii="楷体" w:hAnsi="楷体" w:eastAsia="楷体" w:cs="楷体"/>
          <w:b/>
          <w:color w:val="000000"/>
          <w:spacing w:val="-4"/>
          <w:kern w:val="0"/>
          <w:szCs w:val="32"/>
        </w:rPr>
        <w:t>。</w:t>
      </w:r>
      <w:r>
        <w:rPr>
          <w:rFonts w:hint="eastAsia" w:ascii="仿宋" w:hAnsi="仿宋" w:eastAsia="仿宋" w:cs="楷体"/>
          <w:color w:val="000000"/>
          <w:spacing w:val="-4"/>
          <w:kern w:val="0"/>
          <w:szCs w:val="32"/>
        </w:rPr>
        <w:t>坚决贯彻落实《党政机关厉行节约反对浪费条例》，树立长期过紧日子思想，严控办公用房租赁、公务车运行费等支出，大力压减会议费、培训费、劳务费、委托业务费等支出。健全“三保”预算管理机制，压实“三保”保障责任，推动形成各部门各司其职、各负其责、共同发力的良好局面；按月对“三保”动态财力、库款保障和支出进度等情况开展综合监测，积极应对潜在风险；在“三保”支出足额落实前，除应急救灾支出外，不拨付其他支出。</w:t>
      </w:r>
    </w:p>
    <w:p>
      <w:pPr>
        <w:pStyle w:val="2"/>
        <w:spacing w:line="600" w:lineRule="exact"/>
        <w:ind w:firstLine="627" w:firstLineChars="200"/>
        <w:rPr>
          <w:rFonts w:ascii="仿宋" w:hAnsi="仿宋" w:eastAsia="仿宋" w:cs="楷体_GB2312"/>
          <w:spacing w:val="-4"/>
          <w:kern w:val="0"/>
        </w:rPr>
      </w:pPr>
      <w:r>
        <w:rPr>
          <w:rFonts w:hint="eastAsia" w:ascii="楷体" w:hAnsi="楷体" w:eastAsia="楷体" w:cs="楷体_GB2312"/>
          <w:b/>
          <w:spacing w:val="-4"/>
          <w:kern w:val="0"/>
        </w:rPr>
        <w:t>三是增加经济社会发展投入，推动高质量发展。</w:t>
      </w:r>
      <w:r>
        <w:rPr>
          <w:rFonts w:hint="eastAsia" w:ascii="仿宋" w:hAnsi="仿宋" w:eastAsia="仿宋" w:cs="楷体_GB2312"/>
          <w:spacing w:val="-4"/>
          <w:kern w:val="0"/>
        </w:rPr>
        <w:t>深入细致了解和掌握国家政策导向和分配因素，开展我县争取优势分析，谋划优质项目，抓住关键时间节点和有利契机，加强与上级对接、协调、沟通，全力争取在政策、资金、项目上的支持，增加各项基础设施建设投入，争取更多资金用于补短板、强弱项、惠民生。全面统筹项目管理，加强项目谋划储备，协调做好要素保障，扎实推进项目前期；强化项目实施进度和资金拨付进度的统筹管理，推动项目建设提质提速，确保按时按质完工；优化资金支付流程，提高资金支付效率。</w:t>
      </w:r>
    </w:p>
    <w:p>
      <w:pPr>
        <w:ind w:firstLine="692" w:firstLineChars="221"/>
        <w:rPr>
          <w:rFonts w:ascii="仿宋_GB2312" w:eastAsia="仿宋_GB2312"/>
          <w:sz w:val="32"/>
          <w:szCs w:val="32"/>
        </w:rPr>
      </w:pPr>
      <w:r>
        <w:rPr>
          <w:rFonts w:hint="eastAsia" w:ascii="楷体" w:hAnsi="楷体" w:eastAsia="楷体"/>
          <w:b/>
          <w:spacing w:val="-4"/>
          <w:kern w:val="0"/>
          <w:sz w:val="32"/>
          <w:szCs w:val="32"/>
        </w:rPr>
        <w:t>四是深入推进财政改革，实现科学化管理。</w:t>
      </w:r>
      <w:r>
        <w:rPr>
          <w:rFonts w:hint="eastAsia" w:ascii="仿宋" w:hAnsi="仿宋" w:eastAsia="仿宋"/>
          <w:spacing w:val="-4"/>
          <w:kern w:val="0"/>
          <w:sz w:val="32"/>
          <w:szCs w:val="32"/>
        </w:rPr>
        <w:t>健全完善零基预算改革配套制度，推进零基预算改革深化，</w:t>
      </w:r>
      <w:r>
        <w:rPr>
          <w:rFonts w:hint="eastAsia" w:ascii="仿宋_GB2312" w:eastAsia="仿宋_GB2312"/>
          <w:sz w:val="32"/>
          <w:szCs w:val="32"/>
        </w:rPr>
        <w:t>加强国有资产配置、使用和处置等管理，提高国有资产使用效益；加强绩效评价，将事前绩效评估、绩效目标管理、绩效运行监控、绩效评价及结果应用等融入专项资金预算申请、编制、执行和监督全过程；加强非财政拨款收入管理，县级预算部门及所属单位将取得的各项非财政拨款收入全部编入单位预算。加强财会监督，日常监督检查与重点监督检查相结合，大力整治财政运行过程出现的突出问题，持续强化财经纪律意识。</w:t>
      </w:r>
    </w:p>
    <w:p>
      <w:pPr>
        <w:pStyle w:val="2"/>
        <w:spacing w:line="600" w:lineRule="exact"/>
        <w:ind w:firstLine="640" w:firstLineChars="200"/>
        <w:rPr>
          <w:rFonts w:ascii="仿宋" w:hAnsi="仿宋" w:eastAsia="仿宋"/>
          <w:kern w:val="0"/>
          <w:szCs w:val="32"/>
        </w:rPr>
      </w:pPr>
      <w:r>
        <w:rPr>
          <w:rFonts w:hint="eastAsia" w:ascii="仿宋" w:hAnsi="仿宋" w:eastAsia="仿宋" w:cs="宋体"/>
          <w:snapToGrid w:val="0"/>
          <w:kern w:val="0"/>
          <w:szCs w:val="32"/>
        </w:rPr>
        <w:t>各位代表，2026年财政形势依然非常严峻，我们将在</w:t>
      </w:r>
      <w:r>
        <w:rPr>
          <w:rFonts w:hint="eastAsia" w:ascii="仿宋" w:hAnsi="仿宋" w:eastAsia="仿宋"/>
          <w:kern w:val="0"/>
          <w:szCs w:val="32"/>
        </w:rPr>
        <w:t>县委的</w:t>
      </w:r>
      <w:r>
        <w:rPr>
          <w:rFonts w:hint="eastAsia" w:ascii="仿宋" w:hAnsi="仿宋" w:eastAsia="仿宋" w:cs="宋体"/>
          <w:snapToGrid w:val="0"/>
          <w:kern w:val="0"/>
          <w:szCs w:val="32"/>
        </w:rPr>
        <w:t>正确领导下，</w:t>
      </w:r>
      <w:r>
        <w:rPr>
          <w:rFonts w:hint="eastAsia" w:ascii="仿宋" w:hAnsi="仿宋" w:eastAsia="仿宋"/>
          <w:kern w:val="0"/>
          <w:szCs w:val="32"/>
        </w:rPr>
        <w:t>在县人大依法监督和县政协大力支持下，弘扬实干精神，奋发有为做好财政改革发展各项工作，为伊通全面发展做出新的更大贡献！</w:t>
      </w:r>
    </w:p>
    <w:p>
      <w:pPr>
        <w:pStyle w:val="2"/>
        <w:spacing w:line="600" w:lineRule="exact"/>
        <w:ind w:firstLine="640" w:firstLineChars="200"/>
        <w:rPr>
          <w:rFonts w:ascii="仿宋" w:hAnsi="仿宋" w:eastAsia="仿宋"/>
          <w:kern w:val="0"/>
          <w:szCs w:val="32"/>
        </w:rPr>
      </w:pPr>
    </w:p>
    <w:p/>
    <w:sectPr>
      <w:headerReference r:id="rId3" w:type="default"/>
      <w:footerReference r:id="rId4" w:type="default"/>
      <w:footerReference r:id="rId5" w:type="even"/>
      <w:pgSz w:w="11906" w:h="16838"/>
      <w:pgMar w:top="1446" w:right="1803" w:bottom="1440" w:left="1803"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8C0DDD-1AF4-4A50-83D6-9AB950ED5B9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embedRegular r:id="rId2" w:fontKey="{8699F75A-54DC-4B7F-93C3-4825639011C8}"/>
  </w:font>
  <w:font w:name="楷体">
    <w:panose1 w:val="02010609060101010101"/>
    <w:charset w:val="86"/>
    <w:family w:val="modern"/>
    <w:pitch w:val="default"/>
    <w:sig w:usb0="800002BF" w:usb1="38CF7CFA" w:usb2="00000016" w:usb3="00000000" w:csb0="00040001" w:csb1="00000000"/>
    <w:embedRegular r:id="rId3" w:fontKey="{8AF0211A-2828-4FD8-9FC0-40ED017F5F58}"/>
  </w:font>
  <w:font w:name="仿宋">
    <w:panose1 w:val="02010609060101010101"/>
    <w:charset w:val="86"/>
    <w:family w:val="modern"/>
    <w:pitch w:val="default"/>
    <w:sig w:usb0="800002BF" w:usb1="38CF7CFA" w:usb2="00000016" w:usb3="00000000" w:csb0="00040001" w:csb1="00000000"/>
    <w:embedRegular r:id="rId4" w:fontKey="{2C3E0015-671D-4893-ADEE-343D6C8CFDEA}"/>
  </w:font>
  <w:font w:name="仿宋_GB2312">
    <w:panose1 w:val="02010609030101010101"/>
    <w:charset w:val="86"/>
    <w:family w:val="modern"/>
    <w:pitch w:val="default"/>
    <w:sig w:usb0="00000001" w:usb1="080E0000" w:usb2="00000000" w:usb3="00000000" w:csb0="00040000" w:csb1="00000000"/>
    <w:embedRegular r:id="rId5" w:fontKey="{A7D907B0-6E61-428E-BF13-BB831F45AAF2}"/>
  </w:font>
  <w:font w:name="楷体_GB2312">
    <w:altName w:val="楷体"/>
    <w:panose1 w:val="02010609030101010101"/>
    <w:charset w:val="86"/>
    <w:family w:val="modern"/>
    <w:pitch w:val="default"/>
    <w:sig w:usb0="00000000" w:usb1="00000000" w:usb2="00000010" w:usb3="00000000" w:csb0="00040000" w:csb1="00000000"/>
    <w:embedRegular r:id="rId6" w:fontKey="{78EBCE09-B860-4367-B9A6-BEEA2B953CF4}"/>
  </w:font>
  <w:font w:name="Tahoma">
    <w:panose1 w:val="020B0604030504040204"/>
    <w:charset w:val="00"/>
    <w:family w:val="swiss"/>
    <w:pitch w:val="default"/>
    <w:sig w:usb0="E1002EFF" w:usb1="C000605B" w:usb2="00000029" w:usb3="00000000" w:csb0="200101FF" w:csb1="20280000"/>
    <w:embedRegular r:id="rId7" w:fontKey="{CA02A3F7-00FA-4899-9E42-C2764E257F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Style w:val="7"/>
      </w:rPr>
    </w:pPr>
    <w:r>
      <w:pict>
        <v:shape id="_x0000_s1026"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erNUXQAAAAAwEAAA8AAAAAAAAAAQAgAAAAIgAAAGRycy9kb3ducmV2&#10;LnhtbFBLAQIUABQAAAAIAIdO4kClKt1CywEAAJYDAAAOAAAAAAAAAAEAIAAAAB8BAABkcnMvZTJv&#10;RG9jLnhtbFBLBQYAAAAABgAGAFkBAABcBQ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v:textbox>
        </v:shape>
      </w:pic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10</w: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0YjUxYzE1ODU0YjhkYTdhMzlhZmI1OTQ0NmNlYzIifQ=="/>
  </w:docVars>
  <w:rsids>
    <w:rsidRoot w:val="77F25001"/>
    <w:rsid w:val="0003593A"/>
    <w:rsid w:val="00035FF1"/>
    <w:rsid w:val="0006509A"/>
    <w:rsid w:val="00066527"/>
    <w:rsid w:val="00077676"/>
    <w:rsid w:val="00087A97"/>
    <w:rsid w:val="000A5B7E"/>
    <w:rsid w:val="00136E60"/>
    <w:rsid w:val="001830E7"/>
    <w:rsid w:val="00184A78"/>
    <w:rsid w:val="001C0740"/>
    <w:rsid w:val="001D4568"/>
    <w:rsid w:val="001D66E1"/>
    <w:rsid w:val="00205D9B"/>
    <w:rsid w:val="0021468F"/>
    <w:rsid w:val="002465D1"/>
    <w:rsid w:val="0025110B"/>
    <w:rsid w:val="00251892"/>
    <w:rsid w:val="00263C7A"/>
    <w:rsid w:val="0027432E"/>
    <w:rsid w:val="002853CA"/>
    <w:rsid w:val="002A249F"/>
    <w:rsid w:val="002A7F9D"/>
    <w:rsid w:val="002D2C16"/>
    <w:rsid w:val="002D419B"/>
    <w:rsid w:val="00332A30"/>
    <w:rsid w:val="00345BE9"/>
    <w:rsid w:val="0035355B"/>
    <w:rsid w:val="00385DA6"/>
    <w:rsid w:val="003C2817"/>
    <w:rsid w:val="003C2982"/>
    <w:rsid w:val="003C3383"/>
    <w:rsid w:val="003C44AD"/>
    <w:rsid w:val="003C6240"/>
    <w:rsid w:val="003E294C"/>
    <w:rsid w:val="003F40BA"/>
    <w:rsid w:val="00404568"/>
    <w:rsid w:val="00437FDB"/>
    <w:rsid w:val="00454D24"/>
    <w:rsid w:val="00467A5C"/>
    <w:rsid w:val="00482828"/>
    <w:rsid w:val="004D2256"/>
    <w:rsid w:val="004D31F4"/>
    <w:rsid w:val="004F3F4E"/>
    <w:rsid w:val="005017C1"/>
    <w:rsid w:val="0055057C"/>
    <w:rsid w:val="00567D56"/>
    <w:rsid w:val="0057460A"/>
    <w:rsid w:val="00590A63"/>
    <w:rsid w:val="005933E2"/>
    <w:rsid w:val="005D3E77"/>
    <w:rsid w:val="005D5AC7"/>
    <w:rsid w:val="0060172C"/>
    <w:rsid w:val="00612C36"/>
    <w:rsid w:val="00672FBD"/>
    <w:rsid w:val="006730ED"/>
    <w:rsid w:val="00681F81"/>
    <w:rsid w:val="00685F01"/>
    <w:rsid w:val="006879DA"/>
    <w:rsid w:val="006F4B49"/>
    <w:rsid w:val="0071520B"/>
    <w:rsid w:val="0073599D"/>
    <w:rsid w:val="0074716F"/>
    <w:rsid w:val="007B41AA"/>
    <w:rsid w:val="007D0ED6"/>
    <w:rsid w:val="007E2861"/>
    <w:rsid w:val="008063CC"/>
    <w:rsid w:val="00815D17"/>
    <w:rsid w:val="00826A07"/>
    <w:rsid w:val="008B0C69"/>
    <w:rsid w:val="008B2972"/>
    <w:rsid w:val="008B3C9E"/>
    <w:rsid w:val="0090631E"/>
    <w:rsid w:val="00917F83"/>
    <w:rsid w:val="009254EA"/>
    <w:rsid w:val="00940573"/>
    <w:rsid w:val="00940863"/>
    <w:rsid w:val="0095285D"/>
    <w:rsid w:val="0097294E"/>
    <w:rsid w:val="0097439E"/>
    <w:rsid w:val="009947D9"/>
    <w:rsid w:val="009E0CBF"/>
    <w:rsid w:val="009E47F4"/>
    <w:rsid w:val="00A03113"/>
    <w:rsid w:val="00A246E8"/>
    <w:rsid w:val="00A57E34"/>
    <w:rsid w:val="00A77C1F"/>
    <w:rsid w:val="00A92FFD"/>
    <w:rsid w:val="00AC3AD5"/>
    <w:rsid w:val="00AC492D"/>
    <w:rsid w:val="00AD2601"/>
    <w:rsid w:val="00AE0785"/>
    <w:rsid w:val="00AE11E1"/>
    <w:rsid w:val="00AE6EEA"/>
    <w:rsid w:val="00AF1483"/>
    <w:rsid w:val="00B04A68"/>
    <w:rsid w:val="00B21BB8"/>
    <w:rsid w:val="00B23AE0"/>
    <w:rsid w:val="00B42677"/>
    <w:rsid w:val="00B42A28"/>
    <w:rsid w:val="00B4518D"/>
    <w:rsid w:val="00B46405"/>
    <w:rsid w:val="00B64CA4"/>
    <w:rsid w:val="00B71ED7"/>
    <w:rsid w:val="00BB3EF2"/>
    <w:rsid w:val="00BC4A3E"/>
    <w:rsid w:val="00BD6740"/>
    <w:rsid w:val="00BE5313"/>
    <w:rsid w:val="00BF22B0"/>
    <w:rsid w:val="00C032ED"/>
    <w:rsid w:val="00C1691C"/>
    <w:rsid w:val="00C43FA6"/>
    <w:rsid w:val="00C50E72"/>
    <w:rsid w:val="00C54152"/>
    <w:rsid w:val="00C7008D"/>
    <w:rsid w:val="00C75DDE"/>
    <w:rsid w:val="00D148FB"/>
    <w:rsid w:val="00D44B46"/>
    <w:rsid w:val="00D852BF"/>
    <w:rsid w:val="00DA4DAE"/>
    <w:rsid w:val="00DB101A"/>
    <w:rsid w:val="00DF1102"/>
    <w:rsid w:val="00DF11F3"/>
    <w:rsid w:val="00E11768"/>
    <w:rsid w:val="00E63DB6"/>
    <w:rsid w:val="00E7215B"/>
    <w:rsid w:val="00E803AC"/>
    <w:rsid w:val="00E8108D"/>
    <w:rsid w:val="00EB7162"/>
    <w:rsid w:val="00ED5370"/>
    <w:rsid w:val="00EF0A11"/>
    <w:rsid w:val="00F37E90"/>
    <w:rsid w:val="00F41CD9"/>
    <w:rsid w:val="00F65B49"/>
    <w:rsid w:val="00F703E5"/>
    <w:rsid w:val="00F75933"/>
    <w:rsid w:val="00F835FA"/>
    <w:rsid w:val="00F90917"/>
    <w:rsid w:val="00FB701D"/>
    <w:rsid w:val="05E41A4E"/>
    <w:rsid w:val="061B574F"/>
    <w:rsid w:val="1B3659D2"/>
    <w:rsid w:val="1D1446A3"/>
    <w:rsid w:val="20BC1841"/>
    <w:rsid w:val="215113FF"/>
    <w:rsid w:val="220A70E1"/>
    <w:rsid w:val="355A3A93"/>
    <w:rsid w:val="44E57A37"/>
    <w:rsid w:val="53E532E8"/>
    <w:rsid w:val="583734DC"/>
    <w:rsid w:val="6CAE3EC1"/>
    <w:rsid w:val="77F25001"/>
    <w:rsid w:val="787E7C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方正仿宋简体"/>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D0E03B-1674-4564-8308-AE6EFC97FDE4}">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11</Pages>
  <Words>5122</Words>
  <Characters>5925</Characters>
  <Lines>42</Lines>
  <Paragraphs>11</Paragraphs>
  <TotalTime>8</TotalTime>
  <ScaleCrop>false</ScaleCrop>
  <LinksUpToDate>false</LinksUpToDate>
  <CharactersWithSpaces>5934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2024-12-04T04:11:00Z</dcterms:created>
  <dc:creator>总有刁民想害朕</dc:creator>
  <cp:lastModifiedBy>Administrator</cp:lastModifiedBy>
  <cp:lastPrinted>2025-12-12T05:20:00Z</cp:lastPrinted>
  <dcterms:modified xsi:type="dcterms:W3CDTF">2025-12-15T01:07:40Z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5E02C66B59644C97ABE670C058C9487F_11</vt:lpwstr>
  </property>
</Properties>
</file>