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F0A0D" w:rsidRDefault="005F0A0D" w:rsidP="005F0A0D">
      <w:pPr>
        <w:jc w:val="center"/>
        <w:rPr>
          <w:b/>
          <w:bCs/>
          <w:sz w:val="44"/>
          <w:szCs w:val="44"/>
        </w:rPr>
      </w:pPr>
      <w:r w:rsidRPr="00EA0E1E">
        <w:rPr>
          <w:rFonts w:hint="eastAsia"/>
          <w:b/>
          <w:bCs/>
          <w:sz w:val="44"/>
          <w:szCs w:val="44"/>
        </w:rPr>
        <w:t>伊通县</w:t>
      </w:r>
      <w:r w:rsidRPr="00EA0E1E">
        <w:rPr>
          <w:rFonts w:hint="eastAsia"/>
          <w:b/>
          <w:bCs/>
          <w:sz w:val="44"/>
          <w:szCs w:val="44"/>
        </w:rPr>
        <w:t>202</w:t>
      </w:r>
      <w:r>
        <w:rPr>
          <w:rFonts w:hint="eastAsia"/>
          <w:b/>
          <w:bCs/>
          <w:sz w:val="44"/>
          <w:szCs w:val="44"/>
        </w:rPr>
        <w:t>5</w:t>
      </w:r>
      <w:r w:rsidRPr="00EA0E1E">
        <w:rPr>
          <w:rFonts w:hint="eastAsia"/>
          <w:b/>
          <w:bCs/>
          <w:sz w:val="44"/>
          <w:szCs w:val="44"/>
        </w:rPr>
        <w:t>年预算绩效管理工作总结</w:t>
      </w:r>
    </w:p>
    <w:p w:rsidR="005F0A0D" w:rsidRDefault="005F0A0D" w:rsidP="005F0A0D">
      <w:pPr>
        <w:jc w:val="center"/>
        <w:rPr>
          <w:b/>
          <w:bCs/>
          <w:sz w:val="44"/>
          <w:szCs w:val="44"/>
        </w:rPr>
      </w:pPr>
      <w:r>
        <w:rPr>
          <w:rFonts w:hint="eastAsia"/>
          <w:b/>
          <w:bCs/>
          <w:sz w:val="44"/>
          <w:szCs w:val="44"/>
        </w:rPr>
        <w:t xml:space="preserve"> </w:t>
      </w:r>
    </w:p>
    <w:p w:rsidR="005F0A0D" w:rsidRDefault="005F0A0D" w:rsidP="005F0A0D">
      <w:pPr>
        <w:ind w:firstLineChars="200" w:firstLine="640"/>
        <w:rPr>
          <w:rFonts w:ascii="仿宋" w:eastAsia="仿宋" w:hAnsi="仿宋"/>
          <w:sz w:val="32"/>
          <w:szCs w:val="32"/>
        </w:rPr>
      </w:pPr>
      <w:r>
        <w:rPr>
          <w:rFonts w:ascii="仿宋" w:eastAsia="仿宋" w:hAnsi="仿宋" w:hint="eastAsia"/>
          <w:sz w:val="32"/>
          <w:szCs w:val="32"/>
        </w:rPr>
        <w:t>2025年，根据《中共中央国务院关于全面实施预算绩效管理的意见》（中发[2018]34号）、《中共吉林省委、吉林省人民政府关于全面实施预算绩效管理的意见》（吉发[2019]10号）、吉林省财政厅《关于加快推进市县全面实施预算绩效管理工作的通知》（吉财绩[2022]116号）等文件精神和要求，绩效管理科工作职责如下：</w:t>
      </w:r>
    </w:p>
    <w:p w:rsidR="005F0A0D" w:rsidRDefault="005F0A0D" w:rsidP="005F0A0D">
      <w:pPr>
        <w:ind w:firstLineChars="200" w:firstLine="640"/>
        <w:jc w:val="left"/>
        <w:rPr>
          <w:rFonts w:ascii="仿宋" w:eastAsia="仿宋" w:hAnsi="仿宋"/>
          <w:sz w:val="32"/>
          <w:szCs w:val="32"/>
        </w:rPr>
      </w:pPr>
      <w:r>
        <w:rPr>
          <w:rFonts w:ascii="仿宋" w:eastAsia="仿宋" w:hAnsi="仿宋" w:hint="eastAsia"/>
          <w:sz w:val="32"/>
          <w:szCs w:val="32"/>
        </w:rPr>
        <w:t>研究建立预算绩效管理制度和评价体系，组织预算绩效管理评价工作，指导预算单位完成预算绩效管理工作。</w:t>
      </w:r>
    </w:p>
    <w:p w:rsidR="005F0A0D" w:rsidRDefault="005F0A0D" w:rsidP="005F0A0D">
      <w:pPr>
        <w:spacing w:line="600" w:lineRule="exact"/>
        <w:ind w:firstLineChars="200" w:firstLine="640"/>
        <w:rPr>
          <w:rFonts w:ascii="黑体" w:eastAsia="黑体" w:hAnsi="黑体" w:cs="黑体"/>
          <w:sz w:val="32"/>
          <w:szCs w:val="32"/>
        </w:rPr>
      </w:pPr>
      <w:r>
        <w:rPr>
          <w:rFonts w:ascii="黑体" w:eastAsia="黑体" w:hAnsi="黑体" w:cs="黑体" w:hint="eastAsia"/>
          <w:sz w:val="32"/>
          <w:szCs w:val="32"/>
        </w:rPr>
        <w:t>一、2025年预算绩效管理开展情况</w:t>
      </w:r>
    </w:p>
    <w:p w:rsidR="005F0A0D" w:rsidRDefault="005F0A0D" w:rsidP="005F0A0D">
      <w:pPr>
        <w:ind w:firstLineChars="200" w:firstLine="640"/>
        <w:rPr>
          <w:rFonts w:ascii="仿宋" w:eastAsia="仿宋" w:hAnsi="仿宋"/>
          <w:sz w:val="32"/>
          <w:szCs w:val="32"/>
        </w:rPr>
      </w:pPr>
      <w:r>
        <w:rPr>
          <w:rFonts w:ascii="仿宋" w:eastAsia="仿宋" w:hAnsi="仿宋" w:hint="eastAsia"/>
          <w:sz w:val="32"/>
          <w:szCs w:val="32"/>
        </w:rPr>
        <w:t>2025年，按照“全方位、全过程、全覆盖”预算绩效管理总体要求，以全过程管理为主线，进一步严把事前评估、事中监控、事后评价三个关键节点，强化绩效目标引领和绩效结果应用两大支撑，分层分类对接“全方位”和“全覆盖”。</w:t>
      </w:r>
    </w:p>
    <w:p w:rsidR="005F0A0D" w:rsidRDefault="005F0A0D" w:rsidP="005F0A0D">
      <w:pPr>
        <w:pStyle w:val="p16"/>
        <w:widowControl w:val="0"/>
        <w:spacing w:before="0" w:beforeAutospacing="0" w:after="0" w:afterAutospacing="0" w:line="640" w:lineRule="exact"/>
        <w:rPr>
          <w:rFonts w:ascii="仿宋_GB2312" w:eastAsia="仿宋_GB2312"/>
          <w:sz w:val="32"/>
          <w:szCs w:val="32"/>
          <w:shd w:val="clear" w:color="auto" w:fill="FFFFFF"/>
        </w:rPr>
      </w:pPr>
      <w:r>
        <w:rPr>
          <w:rFonts w:ascii="仿宋" w:eastAsia="仿宋" w:hAnsi="仿宋" w:hint="eastAsia"/>
          <w:sz w:val="32"/>
          <w:szCs w:val="32"/>
        </w:rPr>
        <w:t xml:space="preserve">   </w:t>
      </w:r>
      <w:r>
        <w:rPr>
          <w:rFonts w:ascii="楷体" w:eastAsia="楷体" w:hAnsi="楷体" w:cs="楷体" w:hint="eastAsia"/>
          <w:b/>
          <w:bCs/>
          <w:sz w:val="32"/>
          <w:szCs w:val="32"/>
        </w:rPr>
        <w:t>（一）健全绩效管理制度建设</w:t>
      </w:r>
      <w:r>
        <w:rPr>
          <w:rFonts w:ascii="楷体" w:eastAsia="楷体" w:hAnsi="楷体" w:cs="楷体" w:hint="eastAsia"/>
          <w:b/>
          <w:bCs/>
          <w:color w:val="000000"/>
          <w:sz w:val="32"/>
          <w:szCs w:val="32"/>
        </w:rPr>
        <w:t>。</w:t>
      </w:r>
      <w:r>
        <w:rPr>
          <w:rFonts w:ascii="仿宋" w:eastAsia="仿宋" w:hAnsi="仿宋" w:hint="eastAsia"/>
          <w:color w:val="000000"/>
          <w:sz w:val="32"/>
          <w:szCs w:val="32"/>
        </w:rPr>
        <w:t>构建预算绩效管理制度体系，先后出台了</w:t>
      </w:r>
      <w:r>
        <w:rPr>
          <w:rFonts w:ascii="仿宋" w:eastAsia="仿宋" w:hAnsi="仿宋" w:cs="仿宋" w:hint="eastAsia"/>
          <w:sz w:val="32"/>
          <w:szCs w:val="32"/>
        </w:rPr>
        <w:t>《伊通县贯彻落实全面实施预算绩效管理实施意见的工作方案》《伊通满族自治县</w:t>
      </w:r>
      <w:r>
        <w:rPr>
          <w:rFonts w:ascii="仿宋" w:eastAsia="仿宋" w:hAnsi="仿宋" w:hint="eastAsia"/>
          <w:color w:val="000000"/>
          <w:sz w:val="32"/>
          <w:szCs w:val="32"/>
        </w:rPr>
        <w:t>事前绩效评估方案</w:t>
      </w:r>
      <w:r>
        <w:rPr>
          <w:rFonts w:ascii="仿宋" w:eastAsia="仿宋" w:hAnsi="仿宋" w:cs="仿宋" w:hint="eastAsia"/>
          <w:sz w:val="32"/>
          <w:szCs w:val="32"/>
        </w:rPr>
        <w:t>》</w:t>
      </w:r>
      <w:r>
        <w:rPr>
          <w:rFonts w:ascii="仿宋" w:eastAsia="仿宋" w:hAnsi="仿宋" w:hint="eastAsia"/>
          <w:color w:val="000000"/>
          <w:sz w:val="32"/>
          <w:szCs w:val="32"/>
        </w:rPr>
        <w:t>、《伊通县县直部门绩效目标管理办法（试行）》、《预算绩效管理办法》、《伊通县中介机构参与县直预算评价工作规范（试行）》、</w:t>
      </w:r>
      <w:r>
        <w:rPr>
          <w:rFonts w:ascii="仿宋_GB2312" w:eastAsia="仿宋_GB2312" w:hint="eastAsia"/>
          <w:sz w:val="32"/>
          <w:szCs w:val="32"/>
          <w:shd w:val="clear" w:color="auto" w:fill="FFFFFF"/>
        </w:rPr>
        <w:t>《伊通满族自治县县级财政专项资金绩效管理实施细则》，</w:t>
      </w:r>
      <w:r>
        <w:rPr>
          <w:rFonts w:ascii="仿宋" w:eastAsia="仿宋" w:hAnsi="仿宋" w:hint="eastAsia"/>
          <w:color w:val="000000"/>
          <w:sz w:val="32"/>
          <w:szCs w:val="32"/>
        </w:rPr>
        <w:t>等</w:t>
      </w:r>
      <w:r>
        <w:rPr>
          <w:rFonts w:ascii="仿宋_GB2312" w:eastAsia="仿宋_GB2312" w:hint="eastAsia"/>
          <w:sz w:val="32"/>
          <w:szCs w:val="32"/>
          <w:shd w:val="clear" w:color="auto" w:fill="FFFFFF"/>
        </w:rPr>
        <w:t>各项规章制度,覆盖事前评估、目标管理、</w:t>
      </w:r>
      <w:r>
        <w:rPr>
          <w:rFonts w:ascii="仿宋_GB2312" w:eastAsia="仿宋_GB2312" w:hint="eastAsia"/>
          <w:sz w:val="32"/>
          <w:szCs w:val="32"/>
          <w:shd w:val="clear" w:color="auto" w:fill="FFFFFF"/>
        </w:rPr>
        <w:lastRenderedPageBreak/>
        <w:t>事中监控、事后自评等全流程，形成无死角制度框架。</w:t>
      </w:r>
    </w:p>
    <w:p w:rsidR="005F0A0D" w:rsidRDefault="005F0A0D" w:rsidP="005F0A0D">
      <w:pPr>
        <w:ind w:firstLineChars="200" w:firstLine="643"/>
        <w:rPr>
          <w:rFonts w:ascii="仿宋" w:eastAsia="仿宋" w:hAnsi="仿宋"/>
          <w:sz w:val="32"/>
          <w:szCs w:val="32"/>
        </w:rPr>
      </w:pPr>
      <w:r>
        <w:rPr>
          <w:rFonts w:ascii="楷体" w:eastAsia="楷体" w:hAnsi="楷体" w:cs="楷体" w:hint="eastAsia"/>
          <w:b/>
          <w:bCs/>
          <w:sz w:val="32"/>
          <w:szCs w:val="32"/>
        </w:rPr>
        <w:t>（二）打造预算绩效管理链条，实现全过程管理。</w:t>
      </w:r>
      <w:r w:rsidRPr="0079668D">
        <w:rPr>
          <w:rFonts w:ascii="仿宋" w:eastAsia="仿宋" w:hAnsi="仿宋" w:hint="eastAsia"/>
          <w:sz w:val="32"/>
          <w:szCs w:val="32"/>
        </w:rPr>
        <w:t>将事前绩效评估、事中运行监控、事后评价、结果应用四个环节贯穿预算绩效管理全过程，探索全过程跟踪问效，做到事前有防范、事中有监控、事后有结果，结果有应用。</w:t>
      </w:r>
    </w:p>
    <w:p w:rsidR="005F0A0D" w:rsidRDefault="005F0A0D" w:rsidP="005F0A0D">
      <w:pPr>
        <w:spacing w:line="600" w:lineRule="exact"/>
        <w:ind w:firstLineChars="200" w:firstLine="640"/>
        <w:rPr>
          <w:rFonts w:ascii="仿宋" w:eastAsia="仿宋" w:hAnsi="仿宋"/>
          <w:sz w:val="32"/>
          <w:szCs w:val="32"/>
        </w:rPr>
      </w:pPr>
      <w:r>
        <w:rPr>
          <w:rFonts w:ascii="仿宋" w:eastAsia="仿宋" w:hAnsi="仿宋" w:hint="eastAsia"/>
          <w:sz w:val="32"/>
          <w:szCs w:val="32"/>
        </w:rPr>
        <w:t>1.2025年组织开展了县医院移址新建项目专项债券收益与融资自求平衡测算工作，内容包括事前绩效评估，并根据评估结果，同意安排预算。</w:t>
      </w:r>
    </w:p>
    <w:p w:rsidR="005F0A0D" w:rsidRPr="0079668D" w:rsidRDefault="005F0A0D" w:rsidP="005F0A0D">
      <w:pPr>
        <w:spacing w:line="600" w:lineRule="exact"/>
        <w:ind w:firstLineChars="200" w:firstLine="640"/>
        <w:rPr>
          <w:rFonts w:ascii="仿宋" w:eastAsia="仿宋" w:hAnsi="仿宋"/>
          <w:sz w:val="32"/>
          <w:szCs w:val="32"/>
        </w:rPr>
      </w:pPr>
      <w:r>
        <w:rPr>
          <w:rFonts w:ascii="仿宋" w:eastAsia="仿宋" w:hAnsi="仿宋" w:hint="eastAsia"/>
          <w:sz w:val="32"/>
          <w:szCs w:val="32"/>
        </w:rPr>
        <w:t>2.</w:t>
      </w:r>
      <w:r w:rsidRPr="0079668D">
        <w:rPr>
          <w:rFonts w:ascii="仿宋" w:eastAsia="仿宋" w:hAnsi="仿宋" w:hint="eastAsia"/>
          <w:sz w:val="32"/>
          <w:szCs w:val="32"/>
        </w:rPr>
        <w:t>开展了202</w:t>
      </w:r>
      <w:r>
        <w:rPr>
          <w:rFonts w:ascii="仿宋" w:eastAsia="仿宋" w:hAnsi="仿宋" w:hint="eastAsia"/>
          <w:sz w:val="32"/>
          <w:szCs w:val="32"/>
        </w:rPr>
        <w:t>6</w:t>
      </w:r>
      <w:r w:rsidRPr="0079668D">
        <w:rPr>
          <w:rFonts w:ascii="仿宋" w:eastAsia="仿宋" w:hAnsi="仿宋" w:hint="eastAsia"/>
          <w:sz w:val="32"/>
          <w:szCs w:val="32"/>
        </w:rPr>
        <w:t>年部门预算项目绩效目标编报</w:t>
      </w:r>
      <w:r>
        <w:rPr>
          <w:rFonts w:ascii="仿宋" w:eastAsia="仿宋" w:hAnsi="仿宋" w:hint="eastAsia"/>
          <w:sz w:val="32"/>
          <w:szCs w:val="32"/>
        </w:rPr>
        <w:t>辅导和审核</w:t>
      </w:r>
      <w:r w:rsidRPr="0079668D">
        <w:rPr>
          <w:rFonts w:ascii="仿宋" w:eastAsia="仿宋" w:hAnsi="仿宋" w:hint="eastAsia"/>
          <w:sz w:val="32"/>
          <w:szCs w:val="32"/>
        </w:rPr>
        <w:t>工作。对各部门（单位）报送的绩效目标进行完整性、相关性、适当性、可行性进行审核。对不合格的绩效目标督促部门（单位）进行补充、修改和完善。确保绩效目标在预算执行环节方向明确、在预算执行环节有效监控，在决算环节客观评价。</w:t>
      </w:r>
      <w:r>
        <w:rPr>
          <w:rFonts w:ascii="仿宋" w:eastAsia="仿宋" w:hAnsi="仿宋" w:hint="eastAsia"/>
          <w:sz w:val="32"/>
          <w:szCs w:val="32"/>
        </w:rPr>
        <w:t>确保</w:t>
      </w:r>
      <w:r w:rsidRPr="0079668D">
        <w:rPr>
          <w:rFonts w:ascii="仿宋" w:eastAsia="仿宋" w:hAnsi="仿宋" w:hint="eastAsia"/>
          <w:sz w:val="32"/>
          <w:szCs w:val="32"/>
        </w:rPr>
        <w:t>绩效目标与预算编制同步申报、同步审核、同步批复下达。部门预算项目涵盖民生保障、生态环保、乡村振兴等多个领域，并依托预算管理一体化系统实现支出绩效目标全覆盖。</w:t>
      </w:r>
    </w:p>
    <w:p w:rsidR="005F0A0D" w:rsidRDefault="005F0A0D" w:rsidP="005F0A0D">
      <w:pPr>
        <w:ind w:firstLineChars="200" w:firstLine="640"/>
        <w:rPr>
          <w:rFonts w:ascii="仿宋" w:eastAsia="仿宋" w:hAnsi="仿宋"/>
          <w:sz w:val="32"/>
          <w:szCs w:val="32"/>
        </w:rPr>
      </w:pPr>
      <w:r>
        <w:rPr>
          <w:rFonts w:ascii="仿宋" w:eastAsia="仿宋" w:hAnsi="仿宋" w:hint="eastAsia"/>
          <w:sz w:val="32"/>
          <w:szCs w:val="32"/>
        </w:rPr>
        <w:t>3.对2025年55</w:t>
      </w:r>
      <w:r w:rsidRPr="0079668D">
        <w:rPr>
          <w:rFonts w:ascii="仿宋" w:eastAsia="仿宋" w:hAnsi="仿宋" w:hint="eastAsia"/>
          <w:sz w:val="32"/>
          <w:szCs w:val="32"/>
        </w:rPr>
        <w:t>条二级项目进行绩效目标监控，</w:t>
      </w:r>
      <w:r>
        <w:rPr>
          <w:rFonts w:ascii="仿宋" w:eastAsia="仿宋" w:hAnsi="仿宋" w:hint="eastAsia"/>
          <w:sz w:val="32"/>
          <w:szCs w:val="32"/>
        </w:rPr>
        <w:t xml:space="preserve">动态反映绩效目标指标完成情况，确保对监控发行的问题能够及时做出纠偏，止损等措施。并督促各部门通过一体化系统填报。  </w:t>
      </w:r>
    </w:p>
    <w:p w:rsidR="005F0A0D" w:rsidRPr="0079668D" w:rsidRDefault="005F0A0D" w:rsidP="005F0A0D">
      <w:pPr>
        <w:ind w:firstLineChars="200" w:firstLine="640"/>
        <w:rPr>
          <w:rFonts w:ascii="仿宋" w:eastAsia="仿宋" w:hAnsi="仿宋"/>
          <w:sz w:val="32"/>
          <w:szCs w:val="32"/>
        </w:rPr>
      </w:pPr>
      <w:r>
        <w:rPr>
          <w:rFonts w:ascii="仿宋" w:eastAsia="仿宋" w:hAnsi="仿宋" w:hint="eastAsia"/>
          <w:sz w:val="32"/>
          <w:szCs w:val="32"/>
        </w:rPr>
        <w:t>4.对</w:t>
      </w:r>
      <w:r w:rsidRPr="0079668D">
        <w:rPr>
          <w:rFonts w:ascii="仿宋" w:eastAsia="仿宋" w:hAnsi="仿宋" w:hint="eastAsia"/>
          <w:sz w:val="32"/>
          <w:szCs w:val="32"/>
        </w:rPr>
        <w:t>202</w:t>
      </w:r>
      <w:r>
        <w:rPr>
          <w:rFonts w:ascii="仿宋" w:eastAsia="仿宋" w:hAnsi="仿宋" w:hint="eastAsia"/>
          <w:sz w:val="32"/>
          <w:szCs w:val="32"/>
        </w:rPr>
        <w:t>4</w:t>
      </w:r>
      <w:r w:rsidRPr="0079668D">
        <w:rPr>
          <w:rFonts w:ascii="仿宋" w:eastAsia="仿宋" w:hAnsi="仿宋" w:hint="eastAsia"/>
          <w:sz w:val="32"/>
          <w:szCs w:val="32"/>
        </w:rPr>
        <w:t>年度72个部门整体</w:t>
      </w:r>
      <w:r>
        <w:rPr>
          <w:rFonts w:ascii="仿宋" w:eastAsia="仿宋" w:hAnsi="仿宋" w:hint="eastAsia"/>
          <w:sz w:val="32"/>
          <w:szCs w:val="32"/>
        </w:rPr>
        <w:t>、257条二级项目绩效目标完成情况</w:t>
      </w:r>
      <w:r w:rsidRPr="0079668D">
        <w:rPr>
          <w:rFonts w:ascii="仿宋" w:eastAsia="仿宋" w:hAnsi="仿宋" w:hint="eastAsia"/>
          <w:sz w:val="32"/>
          <w:szCs w:val="32"/>
        </w:rPr>
        <w:t>进行自我评价；实现闭环管理，进一步促进财政</w:t>
      </w:r>
      <w:r w:rsidRPr="0079668D">
        <w:rPr>
          <w:rFonts w:ascii="仿宋" w:eastAsia="仿宋" w:hAnsi="仿宋" w:hint="eastAsia"/>
          <w:sz w:val="32"/>
          <w:szCs w:val="32"/>
        </w:rPr>
        <w:lastRenderedPageBreak/>
        <w:t>资金提质增效。</w:t>
      </w:r>
    </w:p>
    <w:p w:rsidR="005F0A0D" w:rsidRDefault="005F0A0D" w:rsidP="005F0A0D">
      <w:pPr>
        <w:spacing w:line="600" w:lineRule="exact"/>
        <w:ind w:firstLineChars="199" w:firstLine="639"/>
        <w:rPr>
          <w:rFonts w:ascii="仿宋" w:eastAsia="仿宋" w:hAnsi="仿宋" w:cs="仿宋"/>
          <w:b/>
          <w:bCs/>
          <w:sz w:val="32"/>
          <w:szCs w:val="32"/>
        </w:rPr>
      </w:pPr>
      <w:r w:rsidRPr="00A5156B">
        <w:rPr>
          <w:rFonts w:ascii="仿宋" w:eastAsia="仿宋" w:hAnsi="仿宋" w:cs="仿宋" w:hint="eastAsia"/>
          <w:b/>
          <w:bCs/>
          <w:sz w:val="32"/>
          <w:szCs w:val="32"/>
        </w:rPr>
        <w:t>（三）各类财政资金与项目支出与绩效考核结果相挂钩</w:t>
      </w:r>
      <w:r>
        <w:rPr>
          <w:rFonts w:ascii="仿宋" w:eastAsia="仿宋" w:hAnsi="仿宋" w:cs="仿宋" w:hint="eastAsia"/>
          <w:b/>
          <w:bCs/>
          <w:sz w:val="32"/>
          <w:szCs w:val="32"/>
        </w:rPr>
        <w:t>。</w:t>
      </w:r>
    </w:p>
    <w:p w:rsidR="005F0A0D" w:rsidRPr="00F97090" w:rsidRDefault="005F0A0D" w:rsidP="005F0A0D">
      <w:pPr>
        <w:spacing w:line="600" w:lineRule="exact"/>
        <w:rPr>
          <w:rFonts w:ascii="仿宋" w:eastAsia="仿宋" w:hAnsi="仿宋" w:cs="仿宋"/>
          <w:bCs/>
          <w:sz w:val="32"/>
          <w:szCs w:val="32"/>
        </w:rPr>
      </w:pPr>
      <w:r>
        <w:rPr>
          <w:rFonts w:ascii="仿宋" w:eastAsia="仿宋" w:hAnsi="仿宋" w:cs="仿宋" w:hint="eastAsia"/>
          <w:bCs/>
          <w:sz w:val="32"/>
          <w:szCs w:val="32"/>
        </w:rPr>
        <w:t>2025年组织开展了对《黄牛现代农业产业园建设项目》专项债券项目绩效评价工作，评价项目资金安排的科学性、合理性、规范性和资金使用成效，为审核下一年度项目资金及同类专项资金绩效目标、预算编制提供决策依据。并将绩效评价结果在政府网站进行公示；2025年将预算执行进度慢的一般债券资金800万元进行调整使用，确保债券资金及时发挥应有效益。</w:t>
      </w:r>
    </w:p>
    <w:p w:rsidR="005F0A0D" w:rsidRDefault="005F0A0D" w:rsidP="005F0A0D">
      <w:pPr>
        <w:spacing w:line="600" w:lineRule="exact"/>
        <w:ind w:firstLineChars="200" w:firstLine="640"/>
        <w:rPr>
          <w:rFonts w:ascii="黑体" w:eastAsia="黑体" w:hAnsi="黑体" w:cs="黑体"/>
          <w:sz w:val="32"/>
          <w:szCs w:val="32"/>
        </w:rPr>
      </w:pPr>
      <w:r>
        <w:rPr>
          <w:rFonts w:ascii="黑体" w:eastAsia="黑体" w:hAnsi="黑体" w:cs="黑体" w:hint="eastAsia"/>
          <w:sz w:val="32"/>
          <w:szCs w:val="32"/>
        </w:rPr>
        <w:t>二、存在的问题</w:t>
      </w:r>
    </w:p>
    <w:p w:rsidR="005F0A0D" w:rsidRDefault="005F0A0D" w:rsidP="005F0A0D">
      <w:pPr>
        <w:widowControl/>
        <w:spacing w:line="600" w:lineRule="exact"/>
        <w:ind w:firstLineChars="200" w:firstLine="643"/>
        <w:rPr>
          <w:rFonts w:ascii="仿宋" w:eastAsia="仿宋" w:hAnsi="仿宋" w:cs="仿宋"/>
          <w:sz w:val="32"/>
          <w:szCs w:val="28"/>
        </w:rPr>
      </w:pPr>
      <w:r>
        <w:rPr>
          <w:rFonts w:ascii="楷体" w:eastAsia="楷体" w:hAnsi="楷体" w:cs="楷体" w:hint="eastAsia"/>
          <w:b/>
          <w:bCs/>
          <w:sz w:val="32"/>
          <w:szCs w:val="28"/>
        </w:rPr>
        <w:t>（一）</w:t>
      </w:r>
      <w:r>
        <w:rPr>
          <w:rFonts w:ascii="楷体" w:eastAsia="楷体" w:hAnsi="楷体" w:cs="楷体" w:hint="eastAsia"/>
          <w:b/>
          <w:bCs/>
          <w:kern w:val="0"/>
          <w:sz w:val="32"/>
          <w:szCs w:val="32"/>
        </w:rPr>
        <w:t>绩效管理重视程度</w:t>
      </w:r>
      <w:r>
        <w:rPr>
          <w:rFonts w:ascii="楷体" w:eastAsia="楷体" w:hAnsi="楷体" w:cs="楷体" w:hint="eastAsia"/>
          <w:b/>
          <w:bCs/>
          <w:sz w:val="32"/>
          <w:szCs w:val="28"/>
        </w:rPr>
        <w:t>不够。</w:t>
      </w:r>
      <w:r>
        <w:rPr>
          <w:rFonts w:ascii="仿宋" w:eastAsia="仿宋" w:hAnsi="仿宋" w:cs="仿宋" w:hint="eastAsia"/>
          <w:sz w:val="32"/>
          <w:szCs w:val="28"/>
        </w:rPr>
        <w:t>预算绩效管理工作需要财政部门及预算部门的密切配合、共同推进，但在实际工作中预算绩效管理工作主要依靠财政部门去推动，</w:t>
      </w:r>
      <w:r>
        <w:rPr>
          <w:rFonts w:ascii="仿宋" w:eastAsia="仿宋" w:hAnsi="仿宋" w:cs="仿宋" w:hint="eastAsia"/>
          <w:bCs/>
          <w:sz w:val="32"/>
          <w:szCs w:val="32"/>
        </w:rPr>
        <w:t>少数预算部门对预算绩效管理工作重视不够、认识不到位，存在主体意识和责任意识不强等问题，</w:t>
      </w:r>
      <w:r>
        <w:rPr>
          <w:rFonts w:ascii="仿宋" w:eastAsia="仿宋" w:hAnsi="仿宋" w:cs="仿宋" w:hint="eastAsia"/>
          <w:sz w:val="32"/>
          <w:szCs w:val="28"/>
        </w:rPr>
        <w:t>把绩效管理作为额外工作负担；部门内部预算绩效职责不清，简单地将</w:t>
      </w:r>
      <w:r>
        <w:rPr>
          <w:rFonts w:ascii="仿宋" w:eastAsia="仿宋" w:hAnsi="仿宋" w:cs="仿宋" w:hint="eastAsia"/>
          <w:bCs/>
          <w:sz w:val="32"/>
          <w:szCs w:val="32"/>
        </w:rPr>
        <w:t>绩效管理工作交由财务科独自完成，缺少业务科室的协调配合,</w:t>
      </w:r>
      <w:r>
        <w:rPr>
          <w:rFonts w:ascii="仿宋" w:eastAsia="仿宋" w:hAnsi="仿宋" w:cs="仿宋" w:hint="eastAsia"/>
          <w:sz w:val="32"/>
          <w:szCs w:val="28"/>
        </w:rPr>
        <w:t>影响了绩效管理工作的全方面推进。</w:t>
      </w:r>
    </w:p>
    <w:p w:rsidR="00EA0E1E" w:rsidRPr="005F0A0D" w:rsidRDefault="005F0A0D" w:rsidP="005F0A0D">
      <w:pPr>
        <w:widowControl/>
        <w:spacing w:line="600" w:lineRule="exact"/>
        <w:ind w:firstLineChars="200" w:firstLine="643"/>
        <w:rPr>
          <w:rFonts w:ascii="仿宋" w:eastAsia="仿宋" w:hAnsi="仿宋" w:cs="仿宋"/>
          <w:bCs/>
          <w:sz w:val="32"/>
          <w:szCs w:val="32"/>
        </w:rPr>
      </w:pPr>
      <w:r>
        <w:rPr>
          <w:rFonts w:ascii="楷体" w:eastAsia="楷体" w:hAnsi="楷体" w:cs="楷体" w:hint="eastAsia"/>
          <w:b/>
          <w:bCs/>
          <w:sz w:val="32"/>
          <w:szCs w:val="28"/>
        </w:rPr>
        <w:t>（二）绩效目标申报水平有待进一步提高。</w:t>
      </w:r>
      <w:r>
        <w:rPr>
          <w:rFonts w:ascii="仿宋" w:eastAsia="仿宋" w:hAnsi="仿宋" w:cs="仿宋" w:hint="eastAsia"/>
          <w:sz w:val="32"/>
          <w:szCs w:val="28"/>
        </w:rPr>
        <w:t>预算绩效目标管理是科学编制预算的关键，从近几年的绩效管理情况看，预算单位绩效目标设定指向不够明确，</w:t>
      </w:r>
      <w:r>
        <w:rPr>
          <w:rFonts w:ascii="仿宋" w:eastAsia="仿宋" w:hAnsi="仿宋" w:cs="仿宋" w:hint="eastAsia"/>
          <w:bCs/>
          <w:sz w:val="32"/>
          <w:szCs w:val="32"/>
        </w:rPr>
        <w:t>未对质量、成本等重要指标做出具体目标设置，或者只设定了项目的产出指标，项目的效益指标却没有，导致无法反映项目完成对经济、社</w:t>
      </w:r>
      <w:r>
        <w:rPr>
          <w:rFonts w:ascii="仿宋" w:eastAsia="仿宋" w:hAnsi="仿宋" w:cs="仿宋" w:hint="eastAsia"/>
          <w:bCs/>
          <w:sz w:val="32"/>
          <w:szCs w:val="32"/>
        </w:rPr>
        <w:lastRenderedPageBreak/>
        <w:t>会、生态等的影响程度。绩效目标的填报质量直接影响后续绩效监控和绩效自评工作的开展。</w:t>
      </w:r>
    </w:p>
    <w:sectPr w:rsidR="00EA0E1E" w:rsidRPr="005F0A0D" w:rsidSect="001F62CB">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E3236" w:rsidRDefault="00BE3236" w:rsidP="00FB074D">
      <w:r>
        <w:separator/>
      </w:r>
    </w:p>
  </w:endnote>
  <w:endnote w:type="continuationSeparator" w:id="1">
    <w:p w:rsidR="00BE3236" w:rsidRDefault="00BE3236" w:rsidP="00FB074D">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E3236" w:rsidRDefault="00BE3236" w:rsidP="00FB074D">
      <w:r>
        <w:separator/>
      </w:r>
    </w:p>
  </w:footnote>
  <w:footnote w:type="continuationSeparator" w:id="1">
    <w:p w:rsidR="00BE3236" w:rsidRDefault="00BE3236" w:rsidP="00FB074D">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536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MWQwZWRiOTcxOTkzZWRlNTI5MmFmM2NhZmMwYWEzNTMifQ=="/>
  </w:docVars>
  <w:rsids>
    <w:rsidRoot w:val="00FB074D"/>
    <w:rsid w:val="000A1D26"/>
    <w:rsid w:val="00122783"/>
    <w:rsid w:val="001F23B5"/>
    <w:rsid w:val="001F62CB"/>
    <w:rsid w:val="002E4B5E"/>
    <w:rsid w:val="004733AF"/>
    <w:rsid w:val="00495CAC"/>
    <w:rsid w:val="005F0A0D"/>
    <w:rsid w:val="005F5D55"/>
    <w:rsid w:val="0079668D"/>
    <w:rsid w:val="007A45B3"/>
    <w:rsid w:val="007E6E64"/>
    <w:rsid w:val="008D0193"/>
    <w:rsid w:val="008F2F3F"/>
    <w:rsid w:val="00AE0170"/>
    <w:rsid w:val="00BE3236"/>
    <w:rsid w:val="00C80976"/>
    <w:rsid w:val="00C90609"/>
    <w:rsid w:val="00C947B9"/>
    <w:rsid w:val="00EA0E1E"/>
    <w:rsid w:val="00F41E15"/>
    <w:rsid w:val="00F97090"/>
    <w:rsid w:val="00FB074D"/>
    <w:rsid w:val="111237D7"/>
    <w:rsid w:val="14F905E1"/>
    <w:rsid w:val="44BD2C26"/>
    <w:rsid w:val="60477D84"/>
    <w:rsid w:val="6DFB7EC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F62CB"/>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rsid w:val="00FB074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FB074D"/>
    <w:rPr>
      <w:kern w:val="2"/>
      <w:sz w:val="18"/>
      <w:szCs w:val="18"/>
    </w:rPr>
  </w:style>
  <w:style w:type="paragraph" w:styleId="a4">
    <w:name w:val="footer"/>
    <w:basedOn w:val="a"/>
    <w:link w:val="Char0"/>
    <w:rsid w:val="00FB074D"/>
    <w:pPr>
      <w:tabs>
        <w:tab w:val="center" w:pos="4153"/>
        <w:tab w:val="right" w:pos="8306"/>
      </w:tabs>
      <w:snapToGrid w:val="0"/>
      <w:jc w:val="left"/>
    </w:pPr>
    <w:rPr>
      <w:sz w:val="18"/>
      <w:szCs w:val="18"/>
    </w:rPr>
  </w:style>
  <w:style w:type="character" w:customStyle="1" w:styleId="Char0">
    <w:name w:val="页脚 Char"/>
    <w:basedOn w:val="a0"/>
    <w:link w:val="a4"/>
    <w:rsid w:val="00FB074D"/>
    <w:rPr>
      <w:kern w:val="2"/>
      <w:sz w:val="18"/>
      <w:szCs w:val="18"/>
    </w:rPr>
  </w:style>
  <w:style w:type="paragraph" w:customStyle="1" w:styleId="p16">
    <w:name w:val="p16"/>
    <w:next w:val="a4"/>
    <w:qFormat/>
    <w:rsid w:val="00EA0E1E"/>
    <w:pPr>
      <w:spacing w:before="100" w:beforeAutospacing="1" w:after="100" w:afterAutospacing="1"/>
    </w:pPr>
    <w:rPr>
      <w:rFonts w:ascii="宋体" w:hAnsi="Times New Roman" w:cs="宋体"/>
      <w:sz w:val="24"/>
      <w:szCs w:val="24"/>
    </w:rPr>
  </w:style>
</w:styles>
</file>

<file path=word/webSettings.xml><?xml version="1.0" encoding="utf-8"?>
<w:webSettings xmlns:r="http://schemas.openxmlformats.org/officeDocument/2006/relationships" xmlns:w="http://schemas.openxmlformats.org/wordprocessingml/2006/main">
  <w:encoding w:val="x-cp20936"/>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21</TotalTime>
  <Pages>4</Pages>
  <Words>246</Words>
  <Characters>1407</Characters>
  <Application>Microsoft Office Word</Application>
  <DocSecurity>0</DocSecurity>
  <Lines>11</Lines>
  <Paragraphs>3</Paragraphs>
  <ScaleCrop>false</ScaleCrop>
  <Company/>
  <LinksUpToDate>false</LinksUpToDate>
  <CharactersWithSpaces>1650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THTF</cp:lastModifiedBy>
  <cp:revision>15</cp:revision>
  <dcterms:created xsi:type="dcterms:W3CDTF">2023-08-10T08:16:00Z</dcterms:created>
  <dcterms:modified xsi:type="dcterms:W3CDTF">2026-08-10T07:42:00Z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7BA7B612A276491B9C37B34D201330D1</vt:lpwstr>
  </property>
</Properties>
</file>