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伊通满族自治县农业农村局关于伊通满族自治县示范村镇基础设施建设项目测绘、设计服务采购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项目编号：SP202206072</w:t>
      </w:r>
    </w:p>
    <w:p>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333333"/>
          <w:bdr w:val="none" w:color="auto" w:sz="0" w:space="0"/>
          <w:shd w:val="clear" w:fill="FFFFFF"/>
        </w:rPr>
        <w:t xml:space="preserve">*投标文件的递交：开标时间及递交投标文件截止时间为2022-07-18 09:30；递交地点（即开标地点）为第3开标室；逾期送达的或者未送达指定地点的投标文件，将不予受理。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根据伊通满族自治县财政局政府采购管理工作办公室下达的政府采购任务通知书，中吉国际项目管理有限公司就伊通满族自治县农业农村局关于伊通满族自治县示范村镇基础设施建设项目测绘、设计服务采购进行国内（指关境内）公开招标，现邀请合格的供应商投标。</w:t>
      </w:r>
    </w:p>
    <w:p>
      <w:pPr>
        <w:keepNext w:val="0"/>
        <w:keepLines w:val="0"/>
        <w:widowControl/>
        <w:suppressLineNumbers w:val="0"/>
        <w:pBdr>
          <w:top w:val="single" w:color="auto" w:sz="4" w:space="1"/>
          <w:left w:val="single" w:color="auto" w:sz="4" w:space="4"/>
          <w:bottom w:val="single" w:color="auto" w:sz="4" w:space="1"/>
          <w:right w:val="single" w:color="auto" w:sz="4" w:space="4"/>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single" w:color="auto" w:sz="4" w:space="0"/>
          <w:shd w:val="clear" w:fill="FFFFFF"/>
          <w:lang w:val="en-US" w:eastAsia="zh-CN" w:bidi="ar"/>
        </w:rPr>
        <w:t>项目概况</w:t>
      </w:r>
    </w:p>
    <w:p>
      <w:pPr>
        <w:keepNext w:val="0"/>
        <w:keepLines w:val="0"/>
        <w:widowControl/>
        <w:suppressLineNumbers w:val="0"/>
        <w:pBdr>
          <w:top w:val="single" w:color="auto" w:sz="4" w:space="1"/>
          <w:left w:val="single" w:color="auto" w:sz="4" w:space="4"/>
          <w:bottom w:val="single" w:color="auto" w:sz="4" w:space="1"/>
          <w:right w:val="single" w:color="auto" w:sz="4" w:space="4"/>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single" w:color="auto" w:sz="4" w:space="0"/>
          <w:shd w:val="clear" w:fill="FFFFFF"/>
          <w:lang w:val="en-US" w:eastAsia="zh-CN" w:bidi="ar"/>
        </w:rPr>
        <w:t>(伊通满族自治县农业农村局关于伊通满族自治县示范村镇基础设施建设项目测绘、设计服务采购) 招标项目的潜在投标人应在（四平市公共资源交易网）获取招标文件，并于 2022年7月18日09点30分（北京时间）前递交投标文件。</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项目编号：ZJGJ-CC-FWZB02-20220615</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项目名称：伊通满族自治县农业农村局关于伊通满族自治县示范村镇基础设施建设项目测绘、设计服务采购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预算金额：1600000.00元</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最高限价：1600000.00元</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采购需求：完成项目工程测量、初步方案、初步设计（含概算）、施工图、现场服务（含设计变更）及后续服务等工作；(详见“服务需求及技术规格要求”)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合同履行期限：自合同签订之日起20日完成</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本项目接受联合体投标。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二、申请人的资格要求：</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1.满足《中华人民共和国政府采购法》第二十二条规定。</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2.具备国家有关主管部门批准的本招标项目标的的合法资格。</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3.企业名称不同但法定代表人为同一个自然人的两个或者两个以上的投标人不得参加同一采购项目的投标。</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为采购项目提供整体设计、规范编制或者项目管理、监理、检测等服务的供应商，不得再参加本采购项目的其他采购活动。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5.落实政府采购政策需满足的资格要求：本项目非专门面向中小企业采购。</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6.本项目的特定资格要求：</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6.1投标人须同时具备相关行政主管部门颁发的工程设计建筑行业（建筑工程）乙级及以上资质和相关行政主管部门颁发的测绘乙级及以上资质，并在人员、设备、资金等方面具有相应的能力。</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6.2投标单位拟派的项目负责人须相关建筑专业高级工程师以上职称；</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6.3拒绝列入政府取消投标资格记录期间的企业或个人投标；</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6.4近三年(2019年、2020年、2021年)财务状况良好（成立不足三年的企业需提供自成立当年至2021年的财务审计报告，2022年成立的企业提供企业资金良好承诺书）；</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6.5未被列入信用中国网站（www.creditchina.gov.cn）、中国政府采购网(www.ccgp.gov.cn)、中国执行信息公开网http://zxgk.court.gov.cn信用记录失信被执行人、重大税收违法案件当事人名单、政府采购严重违法失信行为记录名单。</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70" w:firstLineChars="196"/>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三、供应商注册、招标文件获取、投标确认: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从即日起至2022年7月1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70" w:firstLineChars="196"/>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四、项目答疑会和踏勘现场： 无</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70" w:firstLineChars="196"/>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五、投标文件传递方式要求、截止时间和地点：</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投标文件传递方式:电子投标文件上传四平市公共资源交易平台</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70" w:firstLineChars="196"/>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传递截止时间： 2022年7月18日09点30分,逾期传递或不符合规定的投标文件恕不接受。</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地点：四平市公共资源交易中心第三开标室（四平市铁西区北建平街1号）</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70" w:firstLineChars="196"/>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六、开标时间及地点:</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时间:2022年7月18日09点30分</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方式：采用腾讯直播形式，进入视频会议人员应改名为“投标人+被授权人”。投标人持CA锁登录会员端【远程解密】菜单获取开标直播信息和解密，解密时间须按采购代理机构在开标直播时的通知执行。因投标人自身原因未能成功解密的，投标无效。</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腾讯会议号：343-593-674</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地点：四平市公共资源交易中心3开标室（四平市铁西区北建平街1号）</w:t>
      </w:r>
    </w:p>
    <w:p>
      <w:pPr>
        <w:pStyle w:val="2"/>
        <w:keepNext w:val="0"/>
        <w:keepLines w:val="0"/>
        <w:widowControl/>
        <w:suppressLineNumbers w:val="0"/>
        <w:adjustRightInd w:val="0"/>
        <w:spacing w:before="226" w:beforeLines="0" w:beforeAutospacing="0" w:after="0" w:afterLines="0" w:afterAutospacing="0" w:line="360" w:lineRule="auto"/>
        <w:ind w:left="150" w:right="0" w:firstLine="480" w:firstLineChars="200"/>
        <w:rPr>
          <w:rFonts w:hint="eastAsia" w:ascii="宋体" w:hAnsi="宋体" w:eastAsia="宋体" w:cs="宋体"/>
          <w:sz w:val="24"/>
          <w:szCs w:val="24"/>
        </w:rPr>
      </w:pPr>
      <w:r>
        <w:rPr>
          <w:rFonts w:hint="eastAsia" w:ascii="宋体" w:hAnsi="宋体" w:eastAsia="宋体" w:cs="宋体"/>
          <w:color w:val="333333"/>
          <w:sz w:val="24"/>
          <w:szCs w:val="24"/>
          <w:shd w:val="clear" w:fill="FFFFFF"/>
        </w:rPr>
        <w:t>七、公告期限：</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自本公告发布之日起5个工作日。</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八、投标保证金：人民币1.6万元。开标现场提交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原件可以开标前邮寄给项目负责人。</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九、发布媒体：</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十、对本次招标提出询问，请按以下方式联系：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地址：吉林省四平市伊通满族自治县伊通镇人民大路</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联系方式：李洪宇15943486118</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名称：中吉国际项目管理有限公司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地址：长春市南关区南环路1088号新里中央公馆B区二期、三期第B8A幢0单元2218号房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联系方式：袁喜月0431-81121960</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项目联系人：袁喜月</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720" w:firstLineChars="3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电话：0431-81121960</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4" w:firstLineChars="202"/>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4" w:firstLineChars="202"/>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开户行:中国农业银行股份有限公司长春开发区支行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4" w:firstLineChars="202"/>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xml:space="preserve">开户行行号:103241017990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30" w:lineRule="atLeast"/>
        <w:ind w:left="150" w:right="0" w:firstLine="484" w:firstLineChars="202"/>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账户名称:中吉国际项目管理有限公司长春分公司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账号:07179901040019428</w:t>
      </w:r>
    </w:p>
    <w:p/>
    <w:p/>
    <w:p/>
    <w:p/>
    <w:p/>
    <w:p/>
    <w:p/>
    <w:p/>
    <w:p/>
    <w:p/>
    <w:p/>
    <w:p/>
    <w:p/>
    <w:p/>
    <w:p/>
    <w:p/>
    <w:p/>
    <w:p>
      <w:pPr>
        <w:pStyle w:val="3"/>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伊通满族自治县农业农村局关于伊通满族自治县示范村镇基础设施建设项目测绘、设计服务采购中标公示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项目编号：SP202206072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bookmarkStart w:id="0" w:name="_GoBack"/>
      <w:bookmarkEnd w:id="0"/>
      <w:r>
        <w:rPr>
          <w:rFonts w:hint="eastAsia" w:ascii="微软雅黑" w:hAnsi="微软雅黑" w:eastAsia="微软雅黑" w:cs="微软雅黑"/>
          <w:color w:val="333333"/>
          <w:sz w:val="21"/>
          <w:szCs w:val="21"/>
          <w:bdr w:val="none" w:color="auto" w:sz="0" w:space="0"/>
          <w:shd w:val="clear" w:fill="FFFFFF"/>
        </w:rPr>
        <w:t xml:space="preserve">*投标文件的递交：开标时间及递交投标文件截止时间为；递交地点（即开标地点）为；逾期送达的或者未送达指定地点的投标文件，将不予受理。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570" w:lineRule="atLeast"/>
        <w:ind w:left="15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bdr w:val="none" w:color="auto" w:sz="0" w:space="0"/>
          <w:shd w:val="clear" w:fill="FFFFFF"/>
        </w:rPr>
        <w:t>伊通满族自治县农业农村局关于伊通满族自治县示范村镇基础设施建设项目测绘、设计服务采购中标结果公告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一、项目编号：ZJGJ-CC-FWZB02-20220615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二、项目名称：伊通满族自治县农业农村局关于伊通满族自治县示范村镇基础设施建设项目测绘、设计服务采购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投标人名称：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牵头人：华茗设计集团有限公司、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联合体：吉林省华亿测绘有限公司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投标人地址：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牵头人：浙江省杭州市拱墅区银泰城7幢1602、1603室、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联合体：长春市南关区亚泰大街以东司法警官公寓A-10-0-102号房室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中标金额：1599000元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四、主要标的信息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    称：伊通满族自治县农业农村局关于伊通满族自治县示范村镇基础设施建设项目测绘、设计服务采购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施工范围：完成项目工程测量、初步方案、初步设计（含概算）、施工图、现场服务（含设计变更）及后续服务等工作；(详见“服务需求及技术规格要求”)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施工工期：合同签订后14天内完成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项目经理：张万青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执业证书信息：084100570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五、评审专家名单：闫秀云、李莹、都纪任、闫龙、孙智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六、代理服务收费标准及金额：执行发改办价格[2015]299号文件，采购代理服务费32000元。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七、公告期限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八、其他补充事宜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本次公告在四平市公共资源交易网（http://ggzy.siping.gov.cn/）上发布并同步推送到吉林省公共资源交易公共服务平台（http://www.jl.gov.cn/ggzy/）、吉林省政府采购网（http://www.ccgp-jilin.gov.cn/）和全国公共资源交易平台（http://www.ggzy.gov.cn/）。</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九、凡对本次公告内容提出询问，请按以下方式联系。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leftChars="200" w:right="0" w:rightChars="0" w:firstLine="240" w:firstLineChars="1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地址：吉林省四平市伊通满族自治县伊通镇人民大路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联系方式：李洪宇15943486118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名称：中吉国际项目管理有限公司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地址：长春市南关区南环路1088号新里中央公馆B区二期、三期第B8A幢0单元2218号房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联系方式：袁喜月0431-81121960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项目联系人：袁喜月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80" w:firstLineChars="20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电话：0431-81121960</w:t>
      </w:r>
    </w:p>
    <w:p>
      <w:pPr>
        <w:pStyle w:val="3"/>
        <w:keepNext w:val="0"/>
        <w:keepLines w:val="0"/>
        <w:widowControl/>
        <w:suppressLineNumbers w:val="0"/>
        <w:spacing w:before="0" w:beforeAutospacing="0" w:after="0" w:afterAutospacing="0" w:line="480" w:lineRule="atLeast"/>
        <w:ind w:left="0" w:right="0"/>
        <w:jc w:val="center"/>
        <w:rPr>
          <w:color w:val="000000"/>
          <w:sz w:val="42"/>
          <w:szCs w:val="42"/>
          <w:shd w:val="clear" w:fill="FFFFFF"/>
        </w:rPr>
        <w:sectPr>
          <w:pgSz w:w="11906" w:h="16838"/>
          <w:pgMar w:top="1440" w:right="1800" w:bottom="1440" w:left="1800" w:header="851" w:footer="992" w:gutter="0"/>
          <w:cols w:space="425" w:num="1"/>
          <w:docGrid w:type="lines" w:linePitch="312" w:charSpace="0"/>
        </w:sectPr>
      </w:pPr>
    </w:p>
    <w:p>
      <w:pPr>
        <w:pStyle w:val="3"/>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伊通满族自治县农业农村局关于伊通满族自治县示范村镇基础设施建设项目测绘、设计服务采购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项目编号：SP202206072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color w:val="333333"/>
          <w:sz w:val="21"/>
          <w:szCs w:val="21"/>
          <w:bdr w:val="none" w:color="auto" w:sz="0" w:space="0"/>
          <w:shd w:val="clear" w:fill="FFFFFF"/>
        </w:rPr>
        <w:t xml:space="preserve">*投标文件的递交：开标时间及递交投标文件截止时间为；递交地点（即开标地点）为；逾期送达的或者未送达指定地点的投标文件，将不予受理。 </w:t>
      </w:r>
    </w:p>
    <w:tbl>
      <w:tblPr>
        <w:tblW w:w="12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rFonts w:hint="eastAsia" w:ascii="宋体" w:hAnsi="宋体" w:eastAsia="宋体" w:cs="宋体"/>
                <w:color w:val="333333"/>
                <w:sz w:val="15"/>
                <w:szCs w:val="15"/>
              </w:rPr>
            </w:pPr>
            <w:r>
              <w:rPr>
                <w:rStyle w:val="7"/>
                <w:rFonts w:hint="eastAsia" w:ascii="宋体" w:hAnsi="宋体" w:eastAsia="宋体" w:cs="宋体"/>
                <w:color w:val="333333"/>
                <w:kern w:val="0"/>
                <w:sz w:val="15"/>
                <w:szCs w:val="15"/>
                <w:bdr w:val="none" w:color="auto" w:sz="0" w:space="0"/>
                <w:lang w:val="en-US" w:eastAsia="zh-CN" w:bidi="ar"/>
              </w:rPr>
              <w:t>合同公示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tbl>
            <w:tblPr>
              <w:tblW w:w="1500" w:type="dxa"/>
              <w:tblInd w:w="-7"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0"/>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center"/>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单位：元</w:t>
                  </w:r>
                </w:p>
              </w:tc>
            </w:tr>
          </w:tbl>
          <w:p>
            <w:pPr>
              <w:rPr>
                <w:vanish/>
                <w:sz w:val="15"/>
                <w:szCs w:val="15"/>
              </w:rPr>
            </w:pPr>
          </w:p>
          <w:tbl>
            <w:tblPr>
              <w:tblW w:w="12675" w:type="dxa"/>
              <w:tblInd w:w="-7"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165"/>
              <w:gridCol w:w="2310"/>
              <w:gridCol w:w="1165"/>
              <w:gridCol w:w="8035"/>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合同编号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HMJL2022-30</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合同名称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建筑工程设计合同</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项目编号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SP202206072</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项目名称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伊通满族自治县农业农村局关于伊通满族自治县示范村镇基础设施建设项目测绘、设计服务采购</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采购单位</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伊通满族自治县农业农村局</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采购形式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公开招标</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项目辖区</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伊通满族自治县</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所属行业</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勘察设计</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代理机构</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中吉国际项目管理有限公司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联系方式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0431-81121960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供应商名称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华茗设计集团有限公司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合同金额</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1599000.00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30" w:lineRule="atLeast"/>
                    <w:jc w:val="center"/>
                    <w:rPr>
                      <w:sz w:val="15"/>
                      <w:szCs w:val="15"/>
                    </w:rPr>
                  </w:pPr>
                  <w:r>
                    <w:rPr>
                      <w:rStyle w:val="7"/>
                      <w:rFonts w:hint="eastAsia" w:ascii="微软雅黑" w:hAnsi="微软雅黑" w:eastAsia="微软雅黑" w:cs="微软雅黑"/>
                      <w:color w:val="333333"/>
                      <w:sz w:val="15"/>
                      <w:szCs w:val="15"/>
                    </w:rPr>
                    <w:t>合同签订日期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2022-07-22</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spacing w:line="450" w:lineRule="atLeast"/>
                    <w:jc w:val="center"/>
                    <w:rPr>
                      <w:sz w:val="15"/>
                      <w:szCs w:val="15"/>
                    </w:rPr>
                  </w:pPr>
                  <w:r>
                    <w:rPr>
                      <w:rStyle w:val="7"/>
                      <w:rFonts w:hint="eastAsia" w:ascii="微软雅黑" w:hAnsi="微软雅黑" w:eastAsia="微软雅黑" w:cs="微软雅黑"/>
                      <w:color w:val="333333"/>
                      <w:sz w:val="15"/>
                      <w:szCs w:val="15"/>
                    </w:rPr>
                    <w:t>合同公告日期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line="450" w:lineRule="atLeast"/>
                    <w:ind w:left="0" w:right="0"/>
                    <w:jc w:val="left"/>
                    <w:rPr>
                      <w:rFonts w:hint="eastAsia" w:ascii="微软雅黑" w:hAnsi="微软雅黑" w:eastAsia="微软雅黑" w:cs="微软雅黑"/>
                      <w:color w:val="333333"/>
                      <w:sz w:val="15"/>
                      <w:szCs w:val="15"/>
                    </w:rPr>
                  </w:pPr>
                  <w:r>
                    <w:rPr>
                      <w:rFonts w:hint="eastAsia" w:ascii="微软雅黑" w:hAnsi="微软雅黑" w:eastAsia="微软雅黑" w:cs="微软雅黑"/>
                      <w:color w:val="333333"/>
                      <w:kern w:val="0"/>
                      <w:sz w:val="15"/>
                      <w:szCs w:val="15"/>
                      <w:bdr w:val="none" w:color="auto" w:sz="0" w:space="0"/>
                      <w:lang w:val="en-US" w:eastAsia="zh-CN" w:bidi="ar"/>
                    </w:rPr>
                    <w:t>2022-10-31</w:t>
                  </w:r>
                </w:p>
              </w:tc>
            </w:tr>
          </w:tbl>
          <w:p>
            <w:pPr>
              <w:spacing w:before="0" w:beforeAutospacing="0" w:after="0" w:afterAutospacing="0" w:line="450" w:lineRule="atLeast"/>
              <w:ind w:left="0" w:right="0"/>
              <w:jc w:val="left"/>
              <w:rPr>
                <w:rFonts w:hint="eastAsia" w:ascii="宋体" w:hAnsi="宋体" w:eastAsia="宋体" w:cs="宋体"/>
                <w:color w:val="333333"/>
                <w:sz w:val="15"/>
                <w:szCs w:val="15"/>
              </w:rPr>
            </w:pPr>
          </w:p>
        </w:tc>
      </w:tr>
    </w:tbl>
    <w:p/>
    <w:p/>
    <w:p/>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NTUwMDM5OGJkNDE3ZjlkMDZmZmM5YmRiMDYyNjYifQ=="/>
  </w:docVars>
  <w:rsids>
    <w:rsidRoot w:val="00000000"/>
    <w:rsid w:val="3B7D1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iPriority w:val="0"/>
    <w:rPr>
      <w:color w:val="800080"/>
      <w:u w:val="none"/>
    </w:rPr>
  </w:style>
  <w:style w:type="character" w:styleId="9">
    <w:name w:val="HTML Definition"/>
    <w:basedOn w:val="6"/>
    <w:uiPriority w:val="0"/>
  </w:style>
  <w:style w:type="character" w:styleId="10">
    <w:name w:val="HTML Typewriter"/>
    <w:basedOn w:val="6"/>
    <w:uiPriority w:val="0"/>
    <w:rPr>
      <w:rFonts w:hint="default" w:ascii="monospace" w:hAnsi="monospace" w:eastAsia="monospace" w:cs="monospace"/>
      <w:sz w:val="20"/>
    </w:rPr>
  </w:style>
  <w:style w:type="character" w:styleId="11">
    <w:name w:val="HTML Acronym"/>
    <w:basedOn w:val="6"/>
    <w:uiPriority w:val="0"/>
    <w:rPr>
      <w:bdr w:val="none" w:color="auto" w:sz="0" w:space="0"/>
    </w:rPr>
  </w:style>
  <w:style w:type="character" w:styleId="12">
    <w:name w:val="HTML Variable"/>
    <w:basedOn w:val="6"/>
    <w:uiPriority w:val="0"/>
  </w:style>
  <w:style w:type="character" w:styleId="13">
    <w:name w:val="Hyperlink"/>
    <w:basedOn w:val="6"/>
    <w:uiPriority w:val="0"/>
    <w:rPr>
      <w:color w:val="0000FF"/>
      <w:u w:val="none"/>
    </w:rPr>
  </w:style>
  <w:style w:type="character" w:styleId="14">
    <w:name w:val="HTML Code"/>
    <w:basedOn w:val="6"/>
    <w:uiPriority w:val="0"/>
    <w:rPr>
      <w:rFonts w:hint="default" w:ascii="monospace" w:hAnsi="monospace" w:eastAsia="monospace" w:cs="monospace"/>
      <w:sz w:val="20"/>
      <w:bdr w:val="none" w:color="auto" w:sz="0" w:space="0"/>
    </w:rPr>
  </w:style>
  <w:style w:type="character" w:styleId="15">
    <w:name w:val="HTML Cite"/>
    <w:basedOn w:val="6"/>
    <w:uiPriority w:val="0"/>
  </w:style>
  <w:style w:type="character" w:styleId="16">
    <w:name w:val="HTML Keyboard"/>
    <w:basedOn w:val="6"/>
    <w:uiPriority w:val="0"/>
    <w:rPr>
      <w:rFonts w:hint="default" w:ascii="monospace" w:hAnsi="monospace" w:eastAsia="monospace" w:cs="monospace"/>
      <w:sz w:val="20"/>
    </w:rPr>
  </w:style>
  <w:style w:type="character" w:styleId="17">
    <w:name w:val="HTML Sample"/>
    <w:basedOn w:val="6"/>
    <w:uiPriority w:val="0"/>
    <w:rPr>
      <w:rFonts w:ascii="monospace" w:hAnsi="monospace" w:eastAsia="monospace" w:cs="monospace"/>
    </w:rPr>
  </w:style>
  <w:style w:type="paragraph" w:customStyle="1" w:styleId="18">
    <w:name w:val="ewb-specinfo"/>
    <w:basedOn w:val="1"/>
    <w:uiPriority w:val="0"/>
    <w:pPr>
      <w:spacing w:before="375" w:beforeAutospacing="0" w:line="23" w:lineRule="atLeast"/>
      <w:ind w:firstLine="420"/>
      <w:jc w:val="both"/>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2022-11-04T08:16:25Z</dcterms:created>
  <dc:creator>Administrator</dc:creator>
  <cp:lastModifiedBy>Administrator</cp:lastModifiedBy>
  <dcterms:modified xsi:type="dcterms:W3CDTF">2022-11-04T08:19:07Z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C355F078C3C04F28B3EA29B07E2C7987</vt:lpwstr>
  </property>
</Properties>
</file>