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4914107">
      <w:pPr>
        <w:jc w:val="center"/>
        <w:rPr>
          <w:rFonts w:hint="eastAsia"/>
          <w:b/>
          <w:bCs/>
          <w:color w:val="auto"/>
          <w:sz w:val="44"/>
          <w:szCs w:val="44"/>
        </w:rPr>
      </w:pPr>
      <w:r>
        <w:rPr>
          <w:rFonts w:hint="eastAsia"/>
          <w:b/>
          <w:bCs/>
          <w:color w:val="auto"/>
          <w:sz w:val="44"/>
          <w:szCs w:val="44"/>
          <w:lang w:val="en-US" w:eastAsia="zh-CN"/>
        </w:rPr>
        <w:t>伊通满高</w:t>
      </w:r>
      <w:r>
        <w:rPr>
          <w:rFonts w:hint="eastAsia"/>
          <w:b/>
          <w:bCs/>
          <w:color w:val="auto"/>
          <w:sz w:val="44"/>
          <w:szCs w:val="44"/>
        </w:rPr>
        <w:t>教研</w:t>
      </w:r>
      <w:r>
        <w:rPr>
          <w:rFonts w:hint="eastAsia"/>
          <w:b/>
          <w:bCs/>
          <w:color w:val="auto"/>
          <w:sz w:val="44"/>
          <w:szCs w:val="44"/>
          <w:lang w:val="en-US" w:eastAsia="zh-CN"/>
        </w:rPr>
        <w:t>管理</w:t>
      </w:r>
      <w:r>
        <w:rPr>
          <w:rFonts w:hint="eastAsia"/>
          <w:b/>
          <w:bCs/>
          <w:color w:val="auto"/>
          <w:sz w:val="44"/>
          <w:szCs w:val="44"/>
        </w:rPr>
        <w:t>制度</w:t>
      </w:r>
    </w:p>
    <w:p w14:paraId="6A6028F6">
      <w:pPr>
        <w:rPr>
          <w:rFonts w:hint="eastAsia"/>
        </w:rPr>
      </w:pPr>
      <w:r>
        <w:rPr>
          <w:rFonts w:hint="eastAsia"/>
        </w:rPr>
        <w:t xml:space="preserve"> </w:t>
      </w:r>
    </w:p>
    <w:p w14:paraId="4B476967">
      <w:pPr>
        <w:ind w:firstLine="640" w:firstLineChars="200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一、总则</w:t>
      </w:r>
    </w:p>
    <w:p w14:paraId="773767C3"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为全面贯彻党的教育方针，深化高中课程改革，提高教育教学质量，促进教师专业成长，构建以校为本、富有活力的教学研究机制，特制定本制度。以先进的教育教学理论为指导，以解决教育教学实际问题为出发点，以课堂教学为阵地，以提高教师专业素养和教学能力为核心，推动高中教育教学高质量发展 。</w:t>
      </w:r>
    </w:p>
    <w:p w14:paraId="77BEFCCB">
      <w:pPr>
        <w:ind w:firstLine="640" w:firstLineChars="200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二、组织管理</w:t>
      </w:r>
    </w:p>
    <w:p w14:paraId="1128D90D">
      <w:pPr>
        <w:ind w:firstLine="640" w:firstLineChars="200"/>
        <w:rPr>
          <w:rFonts w:hint="eastAsia" w:ascii="方正楷体_GB2312" w:hAnsi="方正楷体_GB2312" w:eastAsia="方正楷体_GB2312" w:cs="方正楷体_GB2312"/>
          <w:sz w:val="32"/>
          <w:szCs w:val="32"/>
        </w:rPr>
      </w:pPr>
      <w:r>
        <w:rPr>
          <w:rFonts w:hint="eastAsia" w:ascii="方正楷体_GB2312" w:hAnsi="方正楷体_GB2312" w:eastAsia="方正楷体_GB2312" w:cs="方正楷体_GB2312"/>
          <w:sz w:val="32"/>
          <w:szCs w:val="32"/>
        </w:rPr>
        <w:t>1.领导小组</w:t>
      </w:r>
    </w:p>
    <w:p w14:paraId="31F60243"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成立由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书记、</w:t>
      </w:r>
      <w:r>
        <w:rPr>
          <w:rFonts w:hint="eastAsia" w:ascii="仿宋" w:hAnsi="仿宋" w:eastAsia="仿宋" w:cs="仿宋"/>
          <w:sz w:val="32"/>
          <w:szCs w:val="32"/>
        </w:rPr>
        <w:t>校长任组长，分管教学副校长、教导主任、教科室主任为成员的教研领导小组。</w:t>
      </w:r>
    </w:p>
    <w:p w14:paraId="68C1096F">
      <w:pPr>
        <w:ind w:firstLine="640" w:firstLineChars="200"/>
        <w:rPr>
          <w:rFonts w:hint="eastAsia" w:ascii="方正楷体_GB2312" w:hAnsi="方正楷体_GB2312" w:eastAsia="方正楷体_GB2312" w:cs="方正楷体_GB2312"/>
          <w:sz w:val="32"/>
          <w:szCs w:val="32"/>
        </w:rPr>
      </w:pPr>
      <w:r>
        <w:rPr>
          <w:rFonts w:hint="eastAsia" w:ascii="方正楷体_GB2312" w:hAnsi="方正楷体_GB2312" w:eastAsia="方正楷体_GB2312" w:cs="方正楷体_GB2312"/>
          <w:sz w:val="32"/>
          <w:szCs w:val="32"/>
        </w:rPr>
        <w:t>2.学科教研组</w:t>
      </w:r>
    </w:p>
    <w:p w14:paraId="6C7AE088"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按学科设立教研组，设教研组长1名，负责组织本学科的教研活动。教研组长应具备较强的教学能力和组织协调能力，由学科骨干教师担任。</w:t>
      </w:r>
    </w:p>
    <w:p w14:paraId="0A9DBBD3">
      <w:pPr>
        <w:ind w:firstLine="640" w:firstLineChars="200"/>
        <w:rPr>
          <w:rFonts w:hint="eastAsia" w:ascii="方正楷体_GB2312" w:hAnsi="方正楷体_GB2312" w:eastAsia="方正楷体_GB2312" w:cs="方正楷体_GB2312"/>
          <w:sz w:val="32"/>
          <w:szCs w:val="32"/>
        </w:rPr>
      </w:pPr>
      <w:r>
        <w:rPr>
          <w:rFonts w:hint="eastAsia" w:ascii="方正楷体_GB2312" w:hAnsi="方正楷体_GB2312" w:eastAsia="方正楷体_GB2312" w:cs="方正楷体_GB2312"/>
          <w:sz w:val="32"/>
          <w:szCs w:val="32"/>
        </w:rPr>
        <w:t>3.备课组</w:t>
      </w:r>
    </w:p>
    <w:p w14:paraId="07BE5938"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以年级学科为单位设立备课组，设备课组长1名。</w:t>
      </w:r>
    </w:p>
    <w:p w14:paraId="1CC8CAA5">
      <w:pPr>
        <w:ind w:firstLine="640" w:firstLineChars="200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三、教研活动内容与形式</w:t>
      </w:r>
    </w:p>
    <w:p w14:paraId="57A10A47">
      <w:pPr>
        <w:ind w:firstLine="640" w:firstLineChars="200"/>
        <w:rPr>
          <w:rFonts w:hint="eastAsia" w:ascii="方正楷体_GB2312" w:hAnsi="方正楷体_GB2312" w:eastAsia="方正楷体_GB2312" w:cs="方正楷体_GB2312"/>
          <w:sz w:val="32"/>
          <w:szCs w:val="32"/>
        </w:rPr>
      </w:pPr>
      <w:r>
        <w:rPr>
          <w:rFonts w:hint="eastAsia" w:ascii="方正楷体_GB2312" w:hAnsi="方正楷体_GB2312" w:eastAsia="方正楷体_GB2312" w:cs="方正楷体_GB2312"/>
          <w:sz w:val="32"/>
          <w:szCs w:val="32"/>
        </w:rPr>
        <w:t>1.集体备课</w:t>
      </w:r>
    </w:p>
    <w:p w14:paraId="269497C9"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每周各学科备课组至少开展1次集体备课活动，每次活动时间不少于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</w:t>
      </w:r>
      <w:r>
        <w:rPr>
          <w:rFonts w:hint="eastAsia" w:ascii="仿宋" w:hAnsi="仿宋" w:eastAsia="仿宋" w:cs="仿宋"/>
          <w:sz w:val="32"/>
          <w:szCs w:val="32"/>
        </w:rPr>
        <w:t>小时。集体备课要做到“四定”：定时间、定地点、定内容、定主备人。主备人需提前一周确定备课内容，完成教学设计初稿。在集体备课活动中，主备人阐述教学设计思路，其他教师围绕教学目标、教学重难点、教学方法、教学过程等方面进行讨论，提出修改意见和建议，形成共案。</w:t>
      </w:r>
    </w:p>
    <w:p w14:paraId="45E4457C">
      <w:pPr>
        <w:ind w:firstLine="640" w:firstLineChars="200"/>
        <w:rPr>
          <w:rFonts w:hint="eastAsia" w:ascii="方正楷体_GB2312" w:hAnsi="方正楷体_GB2312" w:eastAsia="方正楷体_GB2312" w:cs="方正楷体_GB2312"/>
          <w:sz w:val="32"/>
          <w:szCs w:val="32"/>
        </w:rPr>
      </w:pPr>
      <w:r>
        <w:rPr>
          <w:rFonts w:hint="eastAsia" w:ascii="方正楷体_GB2312" w:hAnsi="方正楷体_GB2312" w:eastAsia="方正楷体_GB2312" w:cs="方正楷体_GB2312"/>
          <w:sz w:val="32"/>
          <w:szCs w:val="32"/>
        </w:rPr>
        <w:t>2.听课评课</w:t>
      </w:r>
    </w:p>
    <w:p w14:paraId="2DF372D4"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每位教师每学期听课不少于15节，教研组长、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教学领</w:t>
      </w:r>
      <w:r>
        <w:rPr>
          <w:rFonts w:hint="eastAsia" w:ascii="仿宋" w:hAnsi="仿宋" w:eastAsia="仿宋" w:cs="仿宋"/>
          <w:sz w:val="32"/>
          <w:szCs w:val="32"/>
        </w:rPr>
        <w:t>每学期听课不少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 w:cs="仿宋"/>
          <w:sz w:val="32"/>
          <w:szCs w:val="32"/>
        </w:rPr>
        <w:t>0节。听课要认真记录教学过程、师生互动情况、教学亮点与不足等内容。听课后及时组织评课活动，评课要遵循“实事求是、客观公正、以评促教”的原则。</w:t>
      </w:r>
    </w:p>
    <w:p w14:paraId="4F7E9561">
      <w:pPr>
        <w:ind w:firstLine="640" w:firstLineChars="200"/>
        <w:rPr>
          <w:rFonts w:hint="eastAsia" w:ascii="方正楷体_GB2312" w:hAnsi="方正楷体_GB2312" w:eastAsia="方正楷体_GB2312" w:cs="方正楷体_GB2312"/>
          <w:sz w:val="32"/>
          <w:szCs w:val="32"/>
        </w:rPr>
      </w:pPr>
      <w:r>
        <w:rPr>
          <w:rFonts w:hint="eastAsia" w:ascii="方正楷体_GB2312" w:hAnsi="方正楷体_GB2312" w:eastAsia="方正楷体_GB2312" w:cs="方正楷体_GB2312"/>
          <w:sz w:val="32"/>
          <w:szCs w:val="32"/>
          <w:lang w:val="en-US" w:eastAsia="zh-CN"/>
        </w:rPr>
        <w:t>3</w:t>
      </w:r>
      <w:r>
        <w:rPr>
          <w:rFonts w:hint="eastAsia" w:ascii="方正楷体_GB2312" w:hAnsi="方正楷体_GB2312" w:eastAsia="方正楷体_GB2312" w:cs="方正楷体_GB2312"/>
          <w:sz w:val="32"/>
          <w:szCs w:val="32"/>
        </w:rPr>
        <w:t>.教学经验交流</w:t>
      </w:r>
    </w:p>
    <w:p w14:paraId="40A51276"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定期组织教学经验交流会，每学期至少举办2次。由教学成绩突出、教学经验丰富的教师介绍教学经验和教学方法，分享教学心得与体会。鼓励教师参加校际间的教学经验交流活动，学习借鉴其他学校的先进教学经验和管理模式。</w:t>
      </w:r>
    </w:p>
    <w:p w14:paraId="04016433"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</w:p>
    <w:p w14:paraId="7AAEFEDE">
      <w:pPr>
        <w:jc w:val="right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伊通满族自治县满族高级中学校</w:t>
      </w:r>
    </w:p>
    <w:p w14:paraId="6BA2A793"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楷体_GB2312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WPSEMBED1">
    <w:panose1 w:val="02000000000000000000"/>
    <w:charset w:val="86"/>
    <w:family w:val="auto"/>
    <w:pitch w:val="default"/>
    <w:sig w:usb0="A00002BF" w:usb1="184F6CFA" w:usb2="00000012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640279"/>
    <w:rsid w:val="118D0D0D"/>
    <w:rsid w:val="20955D3C"/>
    <w:rsid w:val="29782F90"/>
    <w:rsid w:val="2E877F26"/>
    <w:rsid w:val="315C68F6"/>
    <w:rsid w:val="3E3B36CA"/>
    <w:rsid w:val="4B564547"/>
    <w:rsid w:val="4F860978"/>
    <w:rsid w:val="623779B1"/>
    <w:rsid w:val="68711238"/>
    <w:rsid w:val="76587D3C"/>
    <w:rsid w:val="76AB7D1D"/>
    <w:rsid w:val="7CCA2E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682</Words>
  <Characters>690</Characters>
  <Lines>0</Lines>
  <Paragraphs>0</Paragraphs>
  <TotalTime>0</TotalTime>
  <ScaleCrop>false</ScaleCrop>
  <LinksUpToDate>false</LinksUpToDate>
  <CharactersWithSpaces>692</CharactersWithSpaces>
  <Application>WPS Office_12.1.0.25835_F1E327BC-269C-435d-A152-05C5408002CA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2025-05-30T05:22:00Z</dcterms:created>
  <dc:creator>jlyt_</dc:creator>
  <cp:lastModifiedBy>飘</cp:lastModifiedBy>
  <dcterms:modified xsi:type="dcterms:W3CDTF">2026-05-18T02:48:14Z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2052-12.1.0.25835</vt:lpwstr>
  </property>
  <property fmtid="{D5CDD505-2E9C-101B-9397-08002B2CF9AE}" pid="3" name="KSOTemplateDocerSaveRecord">
    <vt:lpwstr>eyJoZGlkIjoiZTY4ZjhhNTRmMjJiYTk2YzA5ZDIzNGU1MzhjZTE3OGMiLCJ1c2VySWQiOiI0Nzg1MTI5MjEifQ==</vt:lpwstr>
  </property>
  <property fmtid="{D5CDD505-2E9C-101B-9397-08002B2CF9AE}" pid="4" name="ICV">
    <vt:lpwstr>359FBB3B92B84788BEDB9102DEEECF77_13</vt:lpwstr>
  </property>
</Properties>
</file>