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4250" w:type="dxa"/>
        <w:tblInd w:w="0" w:type="dxa"/>
        <w:tblLayout w:type="fixed"/>
        <w:tblCellMar>
          <w:top w:w="15" w:type="dxa"/>
          <w:left w:w="15" w:type="dxa"/>
          <w:bottom w:w="15" w:type="dxa"/>
          <w:right w:w="15" w:type="dxa"/>
        </w:tblCellMar>
      </w:tblPr>
      <w:tblGrid>
        <w:gridCol w:w="1008"/>
        <w:gridCol w:w="2976"/>
        <w:gridCol w:w="6256"/>
        <w:gridCol w:w="2116"/>
        <w:gridCol w:w="1189"/>
        <w:gridCol w:w="705"/>
      </w:tblGrid>
      <w:tr>
        <w:tblPrEx>
          <w:tblCellMar>
            <w:top w:w="15" w:type="dxa"/>
            <w:left w:w="15" w:type="dxa"/>
            <w:bottom w:w="15" w:type="dxa"/>
            <w:right w:w="15" w:type="dxa"/>
          </w:tblCellMar>
        </w:tblPrEx>
        <w:trPr>
          <w:trHeight w:val="1153" w:hRule="atLeast"/>
        </w:trPr>
        <w:tc>
          <w:tcPr>
            <w:tcW w:w="14250" w:type="dxa"/>
            <w:gridSpan w:val="6"/>
            <w:vAlign w:val="center"/>
          </w:tcPr>
          <w:p>
            <w:pPr>
              <w:widowControl/>
              <w:jc w:val="center"/>
              <w:textAlignment w:val="center"/>
              <w:rPr>
                <w:rFonts w:ascii="方正小标宋简体" w:hAnsi="方正小标宋简体" w:eastAsia="方正小标宋简体" w:cs="方正小标宋简体"/>
                <w:color w:val="000000"/>
                <w:sz w:val="44"/>
                <w:szCs w:val="44"/>
              </w:rPr>
            </w:pPr>
            <w:r>
              <w:rPr>
                <w:rFonts w:hint="eastAsia" w:asciiTheme="majorEastAsia" w:hAnsiTheme="majorEastAsia" w:eastAsiaTheme="majorEastAsia" w:cstheme="majorEastAsia"/>
                <w:b/>
                <w:bCs/>
                <w:color w:val="000000"/>
                <w:kern w:val="0"/>
                <w:sz w:val="44"/>
                <w:szCs w:val="44"/>
                <w:lang w:val="en-US" w:eastAsia="zh-CN"/>
              </w:rPr>
              <w:t>伊通满族自治县乡镇、街道首违不</w:t>
            </w:r>
            <w:r>
              <w:rPr>
                <w:rFonts w:hint="eastAsia" w:asciiTheme="majorEastAsia" w:hAnsiTheme="majorEastAsia" w:eastAsiaTheme="majorEastAsia" w:cstheme="majorEastAsia"/>
                <w:b/>
                <w:bCs/>
                <w:color w:val="000000"/>
                <w:kern w:val="0"/>
                <w:sz w:val="44"/>
                <w:szCs w:val="44"/>
              </w:rPr>
              <w:t>罚事项清单</w:t>
            </w:r>
          </w:p>
        </w:tc>
      </w:tr>
      <w:tr>
        <w:tblPrEx>
          <w:tblCellMar>
            <w:top w:w="15" w:type="dxa"/>
            <w:left w:w="15" w:type="dxa"/>
            <w:bottom w:w="15" w:type="dxa"/>
            <w:right w:w="15" w:type="dxa"/>
          </w:tblCellMar>
        </w:tblPrEx>
        <w:trPr>
          <w:trHeight w:val="830"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黑体" w:hAnsi="宋体" w:eastAsia="黑体"/>
                <w:color w:val="000000"/>
                <w:sz w:val="28"/>
                <w:szCs w:val="28"/>
              </w:rPr>
            </w:pPr>
            <w:r>
              <w:rPr>
                <w:rFonts w:hint="eastAsia" w:ascii="黑体" w:hAnsi="宋体" w:eastAsia="黑体"/>
                <w:color w:val="000000"/>
                <w:kern w:val="0"/>
                <w:sz w:val="28"/>
                <w:szCs w:val="28"/>
              </w:rPr>
              <w:t>序号</w:t>
            </w:r>
          </w:p>
        </w:tc>
        <w:tc>
          <w:tcPr>
            <w:tcW w:w="297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黑体" w:hAnsi="宋体" w:eastAsia="黑体"/>
                <w:color w:val="000000"/>
                <w:sz w:val="28"/>
                <w:szCs w:val="28"/>
              </w:rPr>
            </w:pPr>
            <w:r>
              <w:rPr>
                <w:rFonts w:hint="eastAsia" w:ascii="黑体" w:hAnsi="宋体" w:eastAsia="黑体"/>
                <w:color w:val="000000"/>
                <w:kern w:val="0"/>
                <w:sz w:val="28"/>
                <w:szCs w:val="28"/>
                <w:lang w:val="en-US" w:eastAsia="zh-CN"/>
              </w:rPr>
              <w:t>首违不</w:t>
            </w:r>
            <w:r>
              <w:rPr>
                <w:rFonts w:hint="eastAsia" w:ascii="黑体" w:hAnsi="宋体" w:eastAsia="黑体"/>
                <w:color w:val="000000"/>
                <w:kern w:val="0"/>
                <w:sz w:val="28"/>
                <w:szCs w:val="28"/>
              </w:rPr>
              <w:t>罚事项名称</w:t>
            </w:r>
          </w:p>
        </w:tc>
        <w:tc>
          <w:tcPr>
            <w:tcW w:w="625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黑体" w:hAnsi="宋体" w:eastAsia="黑体"/>
                <w:color w:val="000000"/>
                <w:sz w:val="28"/>
                <w:szCs w:val="28"/>
              </w:rPr>
            </w:pPr>
            <w:r>
              <w:rPr>
                <w:rFonts w:hint="eastAsia" w:ascii="黑体" w:hAnsi="宋体" w:eastAsia="黑体"/>
                <w:color w:val="000000"/>
                <w:kern w:val="0"/>
                <w:sz w:val="28"/>
                <w:szCs w:val="28"/>
                <w:lang w:val="en-US" w:eastAsia="zh-CN"/>
              </w:rPr>
              <w:t>首违不</w:t>
            </w:r>
            <w:r>
              <w:rPr>
                <w:rFonts w:hint="eastAsia" w:ascii="黑体" w:hAnsi="宋体" w:eastAsia="黑体"/>
                <w:color w:val="000000"/>
                <w:kern w:val="0"/>
                <w:sz w:val="28"/>
                <w:szCs w:val="28"/>
              </w:rPr>
              <w:t>罚的依据</w:t>
            </w:r>
          </w:p>
        </w:tc>
        <w:tc>
          <w:tcPr>
            <w:tcW w:w="2116"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ascii="黑体" w:hAnsi="宋体" w:eastAsia="黑体"/>
                <w:color w:val="000000"/>
                <w:sz w:val="28"/>
                <w:szCs w:val="28"/>
              </w:rPr>
            </w:pPr>
            <w:r>
              <w:rPr>
                <w:rFonts w:hint="eastAsia" w:ascii="黑体" w:hAnsi="宋体" w:eastAsia="黑体"/>
                <w:color w:val="000000"/>
                <w:kern w:val="0"/>
                <w:sz w:val="28"/>
                <w:szCs w:val="28"/>
                <w:lang w:val="en-US" w:eastAsia="zh-CN"/>
              </w:rPr>
              <w:t>首违不</w:t>
            </w:r>
            <w:r>
              <w:rPr>
                <w:rFonts w:hint="eastAsia" w:ascii="黑体" w:hAnsi="宋体" w:eastAsia="黑体"/>
                <w:color w:val="000000"/>
                <w:kern w:val="0"/>
                <w:sz w:val="28"/>
                <w:szCs w:val="28"/>
              </w:rPr>
              <w:t>罚的情形</w:t>
            </w:r>
          </w:p>
        </w:tc>
        <w:tc>
          <w:tcPr>
            <w:tcW w:w="118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黑体" w:hAnsi="宋体" w:eastAsia="黑体"/>
                <w:color w:val="000000"/>
                <w:sz w:val="28"/>
                <w:szCs w:val="28"/>
              </w:rPr>
            </w:pPr>
            <w:r>
              <w:rPr>
                <w:rFonts w:hint="eastAsia" w:ascii="黑体" w:hAnsi="宋体" w:eastAsia="黑体"/>
                <w:color w:val="000000"/>
                <w:sz w:val="28"/>
                <w:szCs w:val="28"/>
              </w:rPr>
              <w:t>实施机关</w:t>
            </w:r>
          </w:p>
        </w:tc>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黑体" w:hAnsi="宋体" w:eastAsia="黑体"/>
                <w:color w:val="000000"/>
                <w:sz w:val="28"/>
                <w:szCs w:val="28"/>
              </w:rPr>
            </w:pPr>
            <w:r>
              <w:rPr>
                <w:rFonts w:hint="eastAsia" w:ascii="黑体" w:hAnsi="宋体" w:eastAsia="黑体"/>
                <w:color w:val="000000"/>
                <w:kern w:val="0"/>
                <w:sz w:val="28"/>
                <w:szCs w:val="28"/>
              </w:rPr>
              <w:t>备注</w:t>
            </w: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1</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未经业主大会决定或者业主共同决定，改变物业服务用房用途的处罚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 w:hAnsi="仿宋" w:eastAsia="仿宋" w:cs="仿宋"/>
                <w:kern w:val="2"/>
                <w:sz w:val="22"/>
                <w:szCs w:val="22"/>
                <w:vertAlign w:val="baseline"/>
                <w:lang w:val="en-US" w:eastAsia="zh-CN" w:bidi="ar-SA"/>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hint="eastAsia" w:ascii="仿宋" w:hAnsi="仿宋" w:eastAsia="仿宋" w:cs="仿宋"/>
                <w:kern w:val="2"/>
                <w:sz w:val="22"/>
                <w:szCs w:val="22"/>
                <w:vertAlign w:val="baseline"/>
                <w:lang w:val="en-US" w:eastAsia="zh-CN" w:bidi="ar-SA"/>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2</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转让和抵押物业服务用房的处罚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3</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未经业主大会决定或者业主共同决定，改变共有部分用途、利用共有部分从事经营活动或者处分共有部分的处罚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4</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建设单位未按照规定将全部资料报送街道办事处、乡镇人民政府的处罚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5</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建设单位未按照规定将前期物业服务合同报送备案的处罚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6</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建设单位未按照规定将临时管理规约报送备案的处罚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7</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建设单位要求物业服务人承接未经查验或者不符合交付使用条件的物业，或者物业服务人承接未经查验的物业的处罚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8</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对违反《吉林省物业管理条例》第六十八条规定，建设单位不移交有关资料的处罚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lang w:val="en-US" w:eastAsia="zh-CN"/>
              </w:rPr>
            </w:pPr>
            <w:r>
              <w:rPr>
                <w:rFonts w:hint="eastAsia" w:ascii="宋体" w:hAnsi="宋体" w:cs="宋体"/>
                <w:color w:val="000000"/>
                <w:sz w:val="24"/>
                <w:lang w:val="en-US" w:eastAsia="zh-CN"/>
              </w:rPr>
              <w:t>9</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物业服务人未将有关文件报送备案的处罚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10</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物业服务人未建立物业承接查验档案，并妥善保管的处罚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11</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建设单位未按照物业承接查验协议的约定对存在问题进行整改的处罚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12</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物业服务人将其应当提供的全部物业服务转委托给第三人，或者将全部物业服务支解后分别转委托给第三人的处罚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13</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物业服务人提供物业服务未遵守相关规定的处罚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14</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物业服务人采取停止供电、供水、供热、供燃气以及限制业主进出小区、入户的方式催交物业费的处罚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15</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物业服务人未按照规定将物业服务合同报送备案的处罚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16</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物业项目负责人未按照规定报到的处罚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17</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物业服务人未按照规定在物业管理区域内显著位置公开相关信息的处罚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18</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物业服务人未按照规定建立、保存物业服务档案和资料的</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19</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物业服务人拒不移交有关资料、财物，或者损坏、隐匿、销毁有关资料、财物，或者拒不退出物业管理区域的处罚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20</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物业服务合同终止前，原物业服务人擅自退出物业管理区域，停止物业服务，或者物业服务合同终止后，在业主或者业主大会选聘的新物业服务人或者决定自行管理的业主接管之前，原物业服务人未继续处理物业服务事项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21</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建设单位将未出售或者未附赠的车位、车库出租给本物业管理区域外的其他使用人、每次租赁期限超过一年的处罚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r>
        <w:tblPrEx>
          <w:tblCellMar>
            <w:top w:w="15" w:type="dxa"/>
            <w:left w:w="15" w:type="dxa"/>
            <w:bottom w:w="15" w:type="dxa"/>
            <w:right w:w="15" w:type="dxa"/>
          </w:tblCellMar>
        </w:tblPrEx>
        <w:trPr>
          <w:trHeight w:val="690" w:hRule="atLeast"/>
        </w:trPr>
        <w:tc>
          <w:tcPr>
            <w:tcW w:w="100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sz w:val="24"/>
                <w:lang w:val="en-US" w:eastAsia="zh-CN"/>
              </w:rPr>
            </w:pPr>
            <w:r>
              <w:rPr>
                <w:rFonts w:hint="eastAsia" w:ascii="宋体" w:hAnsi="宋体" w:cs="宋体"/>
                <w:color w:val="000000"/>
                <w:sz w:val="24"/>
                <w:lang w:val="en-US" w:eastAsia="zh-CN"/>
              </w:rPr>
              <w:t>22</w:t>
            </w:r>
          </w:p>
        </w:tc>
        <w:tc>
          <w:tcPr>
            <w:tcW w:w="2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挪用、侵占属于业主共有的经营收益的处罚</w:t>
            </w:r>
          </w:p>
        </w:tc>
        <w:tc>
          <w:tcPr>
            <w:tcW w:w="6256"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color w:val="000000"/>
                <w:sz w:val="24"/>
              </w:rPr>
            </w:pPr>
            <w:r>
              <w:rPr>
                <w:rFonts w:hint="eastAsia" w:ascii="仿宋" w:hAnsi="仿宋" w:eastAsia="仿宋" w:cs="仿宋"/>
                <w:sz w:val="22"/>
                <w:szCs w:val="22"/>
                <w:vertAlign w:val="baseline"/>
                <w:lang w:eastAsia="zh-CN"/>
              </w:rPr>
              <w:t>《中华人民共和国行政处罚法》第三十三条：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p>
        </w:tc>
        <w:tc>
          <w:tcPr>
            <w:tcW w:w="2116" w:type="dxa"/>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cs="仿宋"/>
                <w:sz w:val="22"/>
                <w:szCs w:val="22"/>
                <w:vertAlign w:val="baseline"/>
                <w:lang w:eastAsia="zh-CN"/>
              </w:rPr>
            </w:pPr>
            <w:r>
              <w:rPr>
                <w:rFonts w:hint="eastAsia" w:ascii="仿宋" w:hAnsi="仿宋" w:eastAsia="仿宋" w:cs="仿宋"/>
                <w:sz w:val="22"/>
                <w:szCs w:val="22"/>
                <w:vertAlign w:val="baseline"/>
                <w:lang w:val="en-US" w:eastAsia="zh-CN"/>
              </w:rPr>
              <w:t>1、</w:t>
            </w:r>
            <w:r>
              <w:rPr>
                <w:rFonts w:hint="eastAsia" w:ascii="仿宋" w:hAnsi="仿宋" w:eastAsia="仿宋" w:cs="仿宋"/>
                <w:sz w:val="22"/>
                <w:szCs w:val="22"/>
                <w:vertAlign w:val="baseline"/>
                <w:lang w:eastAsia="zh-CN"/>
              </w:rPr>
              <w:t>初次违法；</w:t>
            </w:r>
          </w:p>
          <w:p>
            <w:pPr>
              <w:numPr>
                <w:ilvl w:val="0"/>
                <w:numId w:val="0"/>
              </w:numPr>
              <w:jc w:val="left"/>
              <w:rPr>
                <w:rFonts w:hint="eastAsia" w:ascii="仿宋" w:hAnsi="仿宋" w:eastAsia="仿宋" w:cs="仿宋"/>
                <w:sz w:val="22"/>
                <w:szCs w:val="22"/>
                <w:vertAlign w:val="baseline"/>
                <w:lang w:val="en-US" w:eastAsia="zh-CN"/>
              </w:rPr>
            </w:pPr>
            <w:r>
              <w:rPr>
                <w:rFonts w:hint="eastAsia" w:ascii="仿宋" w:hAnsi="仿宋" w:eastAsia="仿宋" w:cs="仿宋"/>
                <w:sz w:val="22"/>
                <w:szCs w:val="22"/>
                <w:vertAlign w:val="baseline"/>
                <w:lang w:val="en-US" w:eastAsia="zh-CN"/>
              </w:rPr>
              <w:t>2、危害后果轻微；</w:t>
            </w:r>
          </w:p>
          <w:p>
            <w:pPr>
              <w:numPr>
                <w:ilvl w:val="0"/>
                <w:numId w:val="0"/>
              </w:numPr>
              <w:ind w:left="0" w:leftChars="0" w:firstLine="0" w:firstLineChars="0"/>
              <w:jc w:val="left"/>
              <w:rPr>
                <w:rFonts w:ascii="宋体" w:hAnsi="宋体" w:cs="宋体"/>
                <w:color w:val="000000"/>
                <w:sz w:val="24"/>
              </w:rPr>
            </w:pPr>
            <w:r>
              <w:rPr>
                <w:rFonts w:hint="eastAsia" w:ascii="仿宋" w:hAnsi="仿宋" w:eastAsia="仿宋" w:cs="仿宋"/>
                <w:sz w:val="22"/>
                <w:szCs w:val="22"/>
                <w:vertAlign w:val="baseline"/>
                <w:lang w:val="en-US" w:eastAsia="zh-CN"/>
              </w:rPr>
              <w:t>3、能及时改正的。</w:t>
            </w:r>
          </w:p>
        </w:tc>
        <w:tc>
          <w:tcPr>
            <w:tcW w:w="1189"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r>
              <w:rPr>
                <w:rFonts w:hint="eastAsia" w:ascii="仿宋" w:hAnsi="仿宋" w:eastAsia="仿宋" w:cs="仿宋"/>
                <w:color w:val="000000"/>
                <w:sz w:val="22"/>
                <w:szCs w:val="22"/>
                <w:lang w:val="en-US" w:eastAsia="zh-CN"/>
              </w:rPr>
              <w:t>乡镇人民政府、街道办事处</w:t>
            </w:r>
          </w:p>
        </w:tc>
        <w:tc>
          <w:tcPr>
            <w:tcW w:w="70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 w:val="24"/>
              </w:rPr>
            </w:pPr>
          </w:p>
        </w:tc>
      </w:tr>
    </w:tbl>
    <w:p>
      <w:bookmarkStart w:id="0" w:name="_GoBack"/>
      <w:bookmarkEnd w:id="0"/>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56B9DB-F7E8-4BA2-B9B1-A8E116C664A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8D0F11E-231F-41B4-859F-68FAF7587853}"/>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embedRegular r:id="rId3" w:fontKey="{C30C144F-37CE-439D-A8F7-FAB515D37472}"/>
  </w:font>
  <w:font w:name="仿宋">
    <w:panose1 w:val="02010609060101010101"/>
    <w:charset w:val="86"/>
    <w:family w:val="modern"/>
    <w:pitch w:val="default"/>
    <w:sig w:usb0="800002BF" w:usb1="38CF7CFA" w:usb2="00000016" w:usb3="00000000" w:csb0="00040001" w:csb1="00000000"/>
    <w:embedRegular r:id="rId4" w:fontKey="{E593D9F5-3AD0-4BBD-A0DC-9960709BB852}"/>
  </w:font>
  <w:font w:name="方正公文小标宋">
    <w:panose1 w:val="02000500000000000000"/>
    <w:charset w:val="86"/>
    <w:family w:val="auto"/>
    <w:pitch w:val="default"/>
    <w:sig w:usb0="A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4002EFF" w:usb1="C000247B" w:usb2="00000009" w:usb3="00000000" w:csb0="200001FF" w:csb1="00000000"/>
  </w:font>
  <w:font w:name="Helvetica Neue">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-33655</wp:posOffset>
              </wp:positionV>
              <wp:extent cx="753745" cy="2495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53745" cy="249555"/>
                      </a:xfrm>
                      <a:prstGeom prst="rect">
                        <a:avLst/>
                      </a:prstGeom>
                      <a:noFill/>
                      <a:ln>
                        <a:noFill/>
                      </a:ln>
                    </wps:spPr>
                    <wps:txbx>
                      <w:txbxContent>
                        <w:p>
                          <w:pPr>
                            <w:pStyle w:val="3"/>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wps:txbx>
                    <wps:bodyPr lIns="0" tIns="0" rIns="0" bIns="0" upright="1"/>
                  </wps:wsp>
                </a:graphicData>
              </a:graphic>
            </wp:anchor>
          </w:drawing>
        </mc:Choice>
        <mc:Fallback>
          <w:pict>
            <v:shape id="_x0000_s1026" o:spid="_x0000_s1026" o:spt="202" type="#_x0000_t202" style="position:absolute;left:0pt;margin-top:-2.65pt;height:19.65pt;width:59.35pt;mso-position-horizontal:center;mso-position-horizontal-relative:margin;z-index:251659264;mso-width-relative:page;mso-height-relative:page;" filled="f" stroked="f" coordsize="21600,21600" o:gfxdata="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wjhz1gAAAAYBAAAPAAAAAAAAAAEAIAAAACIAAABkcnMvZG93bnJldi54bWxQSwECFAAU&#10;AAAACACHTuJAOhi1yroBAABxAwAADgAAAAAAAAABACAAAAAlAQAAZHJzL2Uyb0RvYy54bWxQSwUG&#10;AAAAAAYABgBZAQAAUQUAAAAA&#10;">
              <v:fill on="f" focussize="0,0"/>
              <v:stroke on="f"/>
              <v:imagedata o:title=""/>
              <o:lock v:ext="edit" aspectratio="f"/>
              <v:textbox inset="0mm,0mm,0mm,0mm">
                <w:txbxContent>
                  <w:p>
                    <w:pPr>
                      <w:pStyle w:val="3"/>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jMmRlNzBmOGUxY2JjYWEwYTEzNjk1ZDczZmM2NTUifQ=="/>
    <w:docVar w:name="KSO_WPS_MARK_KEY" w:val="57388cf6-602b-48b6-bd18-955e36367958"/>
  </w:docVars>
  <w:rsids>
    <w:rsidRoot w:val="537D499B"/>
    <w:rsid w:val="01BD2655"/>
    <w:rsid w:val="02EF306D"/>
    <w:rsid w:val="03DD02C4"/>
    <w:rsid w:val="081116E0"/>
    <w:rsid w:val="0B1A53FA"/>
    <w:rsid w:val="156C582D"/>
    <w:rsid w:val="193B17CA"/>
    <w:rsid w:val="1B3F546F"/>
    <w:rsid w:val="1C1304D1"/>
    <w:rsid w:val="25A91A43"/>
    <w:rsid w:val="25DC799E"/>
    <w:rsid w:val="34D0301A"/>
    <w:rsid w:val="398E0632"/>
    <w:rsid w:val="3A453C69"/>
    <w:rsid w:val="3A477920"/>
    <w:rsid w:val="3D600FC2"/>
    <w:rsid w:val="3E4C7413"/>
    <w:rsid w:val="476163F9"/>
    <w:rsid w:val="4C627C6B"/>
    <w:rsid w:val="52766796"/>
    <w:rsid w:val="537D499B"/>
    <w:rsid w:val="56D40815"/>
    <w:rsid w:val="58E82C1C"/>
    <w:rsid w:val="5ABF0C6C"/>
    <w:rsid w:val="6096172D"/>
    <w:rsid w:val="67A562B5"/>
    <w:rsid w:val="69FC7493"/>
    <w:rsid w:val="6EB04B54"/>
    <w:rsid w:val="6FEE490E"/>
    <w:rsid w:val="7A6C5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720" w:firstLineChars="200"/>
    </w:pPr>
    <w:rPr>
      <w:rFonts w:ascii="Calibri" w:hAnsi="Calibri" w:eastAsia="仿宋_GB2312" w:cs="Times New Roman"/>
      <w:sz w:val="36"/>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Body Text First Indent 2"/>
    <w:basedOn w:val="2"/>
    <w:qFormat/>
    <w:uiPriority w:val="0"/>
    <w:pPr>
      <w:ind w:firstLine="420" w:firstLineChars="200"/>
    </w:p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1943</Words>
  <Characters>1952</Characters>
  <Lines>0</Lines>
  <Paragraphs>0</Paragraphs>
  <TotalTime>8</TotalTime>
  <ScaleCrop>false</ScaleCrop>
  <LinksUpToDate>false</LinksUpToDate>
  <CharactersWithSpaces>2008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2023-03-08T05:24:00Z</dcterms:created>
  <dc:creator>Administrator</dc:creator>
  <cp:lastModifiedBy>Lenovo</cp:lastModifiedBy>
  <cp:lastPrinted>2023-08-10T07:07:00Z</cp:lastPrinted>
  <dcterms:modified xsi:type="dcterms:W3CDTF">2023-09-26T02:33:31Z</dcterms:modified>
  <dc:title>关于全面推行“首违不罚清单”制度的</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3F2C1536C7334824A4536EB93A6C8AE3</vt:lpwstr>
  </property>
</Properties>
</file>