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伊通满族自治县市场监督管理局</w:t>
      </w:r>
      <w:r>
        <w:rPr>
          <w:rFonts w:hint="eastAsia" w:asciiTheme="majorEastAsia" w:hAnsiTheme="majorEastAsia" w:eastAsiaTheme="majorEastAsia" w:cstheme="majorEastAsia"/>
          <w:b/>
          <w:bCs/>
          <w:sz w:val="44"/>
          <w:szCs w:val="44"/>
          <w:lang w:val="en-US" w:eastAsia="zh-CN"/>
        </w:rPr>
        <w:t>首违不罚事项清单</w:t>
      </w:r>
    </w:p>
    <w:p>
      <w:pPr>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单位：伊通满族自治县市</w:t>
      </w:r>
      <w:bookmarkStart w:id="0" w:name="_GoBack"/>
      <w:bookmarkEnd w:id="0"/>
      <w:r>
        <w:rPr>
          <w:rFonts w:hint="eastAsia" w:ascii="仿宋" w:hAnsi="仿宋" w:eastAsia="仿宋" w:cs="仿宋"/>
          <w:b w:val="0"/>
          <w:bCs w:val="0"/>
          <w:sz w:val="28"/>
          <w:szCs w:val="28"/>
          <w:lang w:val="en-US" w:eastAsia="zh-CN"/>
        </w:rPr>
        <w:t>场监督管理局</w:t>
      </w:r>
    </w:p>
    <w:tbl>
      <w:tblPr>
        <w:tblStyle w:val="4"/>
        <w:tblpPr w:leftFromText="180" w:rightFromText="180" w:vertAnchor="text" w:horzAnchor="page" w:tblpX="1191" w:tblpY="454"/>
        <w:tblOverlap w:val="never"/>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2925"/>
        <w:gridCol w:w="4845"/>
        <w:gridCol w:w="3180"/>
        <w:gridCol w:w="1455"/>
        <w:gridCol w:w="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2925" w:type="dxa"/>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首违处罚事项名称</w:t>
            </w:r>
          </w:p>
        </w:tc>
        <w:tc>
          <w:tcPr>
            <w:tcW w:w="4845" w:type="dxa"/>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首违不罚的依据</w:t>
            </w:r>
          </w:p>
        </w:tc>
        <w:tc>
          <w:tcPr>
            <w:tcW w:w="3180" w:type="dxa"/>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首违不罚的情形</w:t>
            </w:r>
          </w:p>
        </w:tc>
        <w:tc>
          <w:tcPr>
            <w:tcW w:w="1455" w:type="dxa"/>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实施机关</w:t>
            </w:r>
          </w:p>
        </w:tc>
        <w:tc>
          <w:tcPr>
            <w:tcW w:w="844" w:type="dxa"/>
          </w:tcPr>
          <w:p>
            <w:pPr>
              <w:jc w:val="center"/>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lang w:val="en-US" w:eastAsia="zh-CN"/>
              </w:rPr>
              <w:t>个体工商户登记事项变更，未办理变更登记</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left"/>
              <w:rPr>
                <w:rFonts w:hint="eastAsia" w:ascii="仿宋" w:hAnsi="仿宋" w:eastAsia="仿宋" w:cs="仿宋"/>
                <w:sz w:val="21"/>
                <w:szCs w:val="21"/>
              </w:rPr>
            </w:pPr>
            <w:r>
              <w:rPr>
                <w:rFonts w:hint="eastAsia" w:ascii="仿宋" w:hAnsi="仿宋" w:eastAsia="仿宋" w:cs="仿宋"/>
                <w:sz w:val="21"/>
                <w:szCs w:val="21"/>
              </w:rPr>
              <w:t>同时具备以下条件1.初次违法</w:t>
            </w:r>
          </w:p>
          <w:p>
            <w:pPr>
              <w:jc w:val="left"/>
              <w:rPr>
                <w:rFonts w:hint="eastAsia" w:ascii="仿宋" w:hAnsi="仿宋" w:eastAsia="仿宋" w:cs="仿宋"/>
                <w:sz w:val="21"/>
                <w:szCs w:val="21"/>
              </w:rPr>
            </w:pPr>
            <w:r>
              <w:rPr>
                <w:rFonts w:hint="eastAsia" w:ascii="仿宋" w:hAnsi="仿宋" w:eastAsia="仿宋" w:cs="仿宋"/>
                <w:sz w:val="21"/>
                <w:szCs w:val="21"/>
              </w:rPr>
              <w:t>2.危害后果轻微3.在市场监管部门发现违法行为线索之前及时</w:t>
            </w:r>
          </w:p>
          <w:p>
            <w:pPr>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主动改正或者在市场监管部门</w:t>
            </w:r>
            <w:r>
              <w:rPr>
                <w:rFonts w:hint="eastAsia" w:ascii="仿宋" w:hAnsi="仿宋" w:eastAsia="仿宋" w:cs="仿宋"/>
                <w:sz w:val="21"/>
                <w:szCs w:val="21"/>
                <w:lang w:val="en-US" w:eastAsia="zh-CN"/>
              </w:rPr>
              <w:t>责</w:t>
            </w:r>
            <w:r>
              <w:rPr>
                <w:rFonts w:hint="eastAsia" w:ascii="仿宋" w:hAnsi="仿宋" w:eastAsia="仿宋" w:cs="仿宋"/>
                <w:sz w:val="21"/>
                <w:szCs w:val="21"/>
              </w:rPr>
              <w:t>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未经设立登记从事经营活动</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同时具备以下条件：1.初次违法；2.危害后果轻微；3.在市场监管部门发现违法行为线索之</w:t>
            </w:r>
          </w:p>
          <w:p>
            <w:pPr>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3</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经营者从事不属于依法须取得行政许可的经营活动，未依法取得营业执照</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 .初次违法；</w:t>
            </w:r>
          </w:p>
          <w:p>
            <w:pPr>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2.危害后果轻微3.在市场监管部门发现违法行为线索之前及时</w:t>
            </w:r>
          </w:p>
          <w:p>
            <w:pPr>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4</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法律、行政法规规定应当明示的广告内容，不够显著、清晰表示</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同时具备以下条件：1.初次违法；</w:t>
            </w:r>
          </w:p>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2.危害后果轻微；3.在市场监管部门发现违法行为线索之前及时</w:t>
            </w:r>
          </w:p>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5</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广告主发布广告使用“国家级”“最高级”“最佳”等用语</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同时具备以下条件：1.初次违法；</w:t>
            </w:r>
          </w:p>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2.危害后果轻微；3.在其经营场所或者利用自有媒体发布自有商</w:t>
            </w:r>
          </w:p>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品或者服务广告；4.持续时间较短，或浏览人数较少，或涉案商</w:t>
            </w:r>
          </w:p>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品或者服务经营额较少；5.在市场监管部门发现违法行为线索之前及时主动改正或者在市场监管部门责令改正期限内改正的。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6</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广告使用数据、统计资料、调查结果、文摘、引用语等引证内容未表表明出处</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同时具备以下条件：1.初次违法；2.危害后果轻微；3.引证内容真实准确合法有据；4.在市场监管部门发现违法行为线索之前及时主动改正或者在市场监管部门责令改正期限内改正的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7</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广告中涉及专利产品或者专利方法，未标明专利号和专利种类</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同时具备以下条件：1.初次违法；2.危害后果轻微；3.具备合法有效专利证明；4.在市场监管部门发现违法行为线索之前及时主动改正或者在市场监管部门责令改正期限内改正的。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8</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通过大众传播媒介发布的广告未显著标明“广告”字样</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同时具备以下条件：同时具备以下条件：1.初次违法；2.危害后果轻微；3.在市场监管部门发现违法行为线索之前及时主动改正或者在市场监管部门责令改正期限内改正的。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9</w:t>
            </w:r>
          </w:p>
        </w:tc>
        <w:tc>
          <w:tcPr>
            <w:tcW w:w="2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食品小作坊、小餐饮店、小食杂店和食品摊贩未按照生产经营目录或者未经备案擅自从事食品经营活动</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同时具备以下条件：1.初次违法；2.危害后果轻微；3.在市场监管部门发现违法行为线索之前及时主动改正或者在市场监管部门责令改正期限内改正的。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10</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电子商务经营者未在首页显著位置持续公示营业执照信息、行政许可信息、属于不需要办理市场主体登记情形等信息，或者上述信息的链接标识</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tabs>
                <w:tab w:val="left" w:pos="1317"/>
              </w:tabs>
              <w:jc w:val="left"/>
              <w:rPr>
                <w:rFonts w:hint="eastAsia"/>
                <w:lang w:val="en-US" w:eastAsia="zh-CN"/>
              </w:rPr>
            </w:pPr>
            <w:r>
              <w:rPr>
                <w:rFonts w:hint="eastAsia" w:ascii="仿宋" w:hAnsi="仿宋" w:eastAsia="仿宋" w:cs="仿宋"/>
                <w:b w:val="0"/>
                <w:bCs w:val="0"/>
                <w:kern w:val="2"/>
                <w:sz w:val="21"/>
                <w:szCs w:val="21"/>
                <w:vertAlign w:val="baseline"/>
                <w:lang w:val="en-US" w:eastAsia="zh-CN" w:bidi="ar-SA"/>
              </w:rPr>
              <w:t>同时具备以下条件：1.初次违法：2.危害后果轻微；3.在市场监管部门发现违法行为线索之前及时主动改正或者在市场监管部门责令改正期限内改正的。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11</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电子商务经营者自行终止从事电子商务，未按规定在首页显著位置持续公示有关信息</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同时具备以下条件：1.初次违法：2.危害后果轻微；3.在市场监管部门发现违法行为线索之前及时主动改正或者在市场监管部门责令改正期限内改正的。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12</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电子商务经营者未明示用户信息查询、更正、删除以及用户注销的方式、程序，或者对用户信息查询、更正、删除以及用户注销设置不合理条件</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p>
            <w:pPr>
              <w:jc w:val="center"/>
              <w:rPr>
                <w:rFonts w:hint="eastAsia" w:ascii="仿宋" w:hAnsi="仿宋" w:eastAsia="仿宋" w:cs="仿宋"/>
                <w:b w:val="0"/>
                <w:bCs w:val="0"/>
                <w:sz w:val="21"/>
                <w:szCs w:val="21"/>
                <w:vertAlign w:val="baseline"/>
                <w:lang w:val="en-US" w:eastAsia="zh-CN"/>
              </w:rPr>
            </w:pP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同时具备以下条件：1.初次违法；2.危害后果轻微；3.在市场监管部门发现违法行为线索之前及时主动改正或者在市场监管部门责令改正期限内改正的。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13</w:t>
            </w:r>
          </w:p>
        </w:tc>
        <w:tc>
          <w:tcPr>
            <w:tcW w:w="2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参与传销</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同时具备以下条件：1.初次违法；2.危害后果轻微；3.未发展新成</w:t>
            </w:r>
          </w:p>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员及未收取非法利益，积极配合调查；4.在市场监管部门发现违法行为线索之前及时主动改正或者在市场监管部门责令改正期限内改正的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14</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经营者与消费者采用格式条款订立合同的，经营者在格式条款中免除自己责任</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 .初次违法；2.危害后果轻微；</w:t>
            </w:r>
          </w:p>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3.在市场监管部门发现违法行为线索之前及时主动改正或者在市场监管部门责令改正期限内改正的，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15</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经营者与消费者采用格式条款订立合同的，经营者在格式条款中加重消费者责任</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 .初次违法；2.危害后果轻微3.在市场监管部门发现违法行为线索之前及时主动改正或者在市场监管部门责令改正期限内改正的，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16</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经营者与消费者采用格式条款订立合同的，经营者在格式条款中排除消费者权利</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 .初次违法；2.危害后果轻微3.在市场监管部门发现违法行为线索之前及时主动改正或者在市场监管部门责令改正期限内改正的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17</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现场即时开奖，未随时公布超过五百元奖项的兑奖情况</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同时具备以下条件；1.初次违法</w:t>
            </w:r>
          </w:p>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2.危害后果轻微3.在市场监管部门发现违法行为线索之前及时</w:t>
            </w:r>
          </w:p>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18</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经营者未按规定建立有奖销售档案</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 .初次违法；2.危害后果轻微3.在市场监管部门发现违法行为线索之前及时主动改正或者在市场监管部门责令改正期限内</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19</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经营者未履行优惠承诺</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 .初次违法；2.危害后果轻微；3.在市场监管部门发现违法行为线索之前及时主动改正或者在市场监管部门责令改正期限内改正的。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20</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使用未经定期检验的特种设备</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 .初次违法；2.危害后果轻微；3.在检验有效期届满后，因生产工艺的连续或公众生活所需、采取必要的安全保障措施后，继续使用时间较短；4.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21</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商标印制档案及商标标识出入库台帐未按要求存档备</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 .初次违法；2.危害后果轻微；3.在市场监管部门发现违法行为线索之前及时主动改正或者在市场监管部门责令改正期限内改正的。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22</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商品和服务不符合明码标价规定</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 .初次违法；2.危害后果轻微；3.在市场监管部门发现违法行为线索之前及时主动改正或者在市场监管部门责令改正期限内改正的。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23</w:t>
            </w:r>
          </w:p>
        </w:tc>
        <w:tc>
          <w:tcPr>
            <w:tcW w:w="2925"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提供服务的经营者未在醒目位置公布服务项目、服务内容、等级或规格、服务价格等内容</w:t>
            </w:r>
          </w:p>
        </w:tc>
        <w:tc>
          <w:tcPr>
            <w:tcW w:w="484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3180" w:type="dxa"/>
          </w:tcPr>
          <w:p>
            <w:pPr>
              <w:jc w:val="both"/>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同时具备以下条件：1 .初次违法；2.危害后果轻微；3.在市场监管部门发现违法行为线索之前及时主动改正或者在市场监管部门责令改正期限内改正的。</w:t>
            </w:r>
          </w:p>
        </w:tc>
        <w:tc>
          <w:tcPr>
            <w:tcW w:w="1455" w:type="dxa"/>
          </w:tcPr>
          <w:p>
            <w:pPr>
              <w:jc w:val="center"/>
              <w:rPr>
                <w:rFonts w:hint="eastAsia" w:ascii="仿宋" w:hAnsi="仿宋" w:eastAsia="仿宋" w:cs="仿宋"/>
                <w:b w:val="0"/>
                <w:bCs w:val="0"/>
                <w:sz w:val="21"/>
                <w:szCs w:val="21"/>
                <w:vertAlign w:val="baseline"/>
                <w:lang w:val="en-US" w:eastAsia="zh-CN"/>
              </w:rPr>
            </w:pPr>
            <w:r>
              <w:rPr>
                <w:rFonts w:hint="eastAsia" w:ascii="仿宋" w:hAnsi="仿宋" w:eastAsia="仿宋" w:cs="仿宋"/>
                <w:sz w:val="21"/>
                <w:szCs w:val="21"/>
              </w:rPr>
              <w:t>市场监管</w:t>
            </w:r>
            <w:r>
              <w:rPr>
                <w:rFonts w:hint="eastAsia" w:ascii="仿宋" w:hAnsi="仿宋" w:eastAsia="仿宋" w:cs="仿宋"/>
                <w:sz w:val="21"/>
                <w:szCs w:val="21"/>
                <w:lang w:val="en-US" w:eastAsia="zh-CN"/>
              </w:rPr>
              <w:t>局</w:t>
            </w:r>
          </w:p>
        </w:tc>
        <w:tc>
          <w:tcPr>
            <w:tcW w:w="844" w:type="dxa"/>
          </w:tcPr>
          <w:p>
            <w:pPr>
              <w:jc w:val="center"/>
              <w:rPr>
                <w:rFonts w:hint="eastAsia" w:ascii="仿宋" w:hAnsi="仿宋" w:eastAsia="仿宋" w:cs="仿宋"/>
                <w:b w:val="0"/>
                <w:bCs w:val="0"/>
                <w:sz w:val="21"/>
                <w:szCs w:val="21"/>
                <w:vertAlign w:val="baseline"/>
                <w:lang w:val="en-US" w:eastAsia="zh-CN"/>
              </w:rPr>
            </w:pPr>
          </w:p>
        </w:tc>
      </w:tr>
    </w:tbl>
    <w:p>
      <w:pPr>
        <w:jc w:val="center"/>
        <w:rPr>
          <w:rFonts w:hint="eastAsia" w:asciiTheme="majorEastAsia" w:hAnsiTheme="majorEastAsia" w:eastAsiaTheme="majorEastAsia" w:cstheme="majorEastAsia"/>
          <w:b/>
          <w:bCs/>
          <w:sz w:val="44"/>
          <w:szCs w:val="44"/>
          <w:lang w:val="en-US" w:eastAsia="zh-CN"/>
        </w:rPr>
      </w:pPr>
    </w:p>
    <w:p>
      <w:pPr>
        <w:jc w:val="left"/>
        <w:rPr>
          <w:rFonts w:hint="eastAsia" w:ascii="仿宋" w:hAnsi="仿宋" w:eastAsia="仿宋" w:cs="仿宋"/>
          <w:b w:val="0"/>
          <w:bCs w:val="0"/>
          <w:sz w:val="32"/>
          <w:szCs w:val="32"/>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Impact">
    <w:panose1 w:val="020B0806030902050204"/>
    <w:charset w:val="00"/>
    <w:family w:val="auto"/>
    <w:pitch w:val="default"/>
    <w:sig w:usb0="00000287" w:usb1="00000000" w:usb2="00000000" w:usb3="00000000" w:csb0="2000009F" w:csb1="DFD70000"/>
  </w:font>
  <w:font w:name="Arial Black">
    <w:panose1 w:val="020B0A04020102020204"/>
    <w:charset w:val="00"/>
    <w:family w:val="auto"/>
    <w:pitch w:val="default"/>
    <w:sig w:usb0="A00002AF" w:usb1="400078FB" w:usb2="00000000" w:usb3="00000000" w:csb0="6000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6513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H  。</cp:lastModifiedBy>
  <cp:lastPrinted>2024-03-07T01:35:38Z</cp:lastPrinted>
  <dcterms:modified xsi:type="dcterms:W3CDTF">2024-03-07T01:37:19Z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