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43F3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信访局关于202</w:t>
      </w:r>
      <w:r>
        <w:rPr>
          <w:rFonts w:hint="eastAsia" w:asciiTheme="majorEastAsia" w:hAnsiTheme="majorEastAsia" w:eastAsiaTheme="majorEastAsia" w:cstheme="majorEastAsia"/>
          <w:b/>
          <w:bCs/>
          <w:sz w:val="44"/>
          <w:szCs w:val="44"/>
          <w:lang w:val="en-US" w:eastAsia="zh-CN"/>
        </w:rPr>
        <w:t>5</w:t>
      </w:r>
      <w:r>
        <w:rPr>
          <w:rFonts w:hint="eastAsia" w:asciiTheme="majorEastAsia" w:hAnsiTheme="majorEastAsia" w:eastAsiaTheme="majorEastAsia" w:cstheme="majorEastAsia"/>
          <w:b/>
          <w:bCs/>
          <w:sz w:val="44"/>
          <w:szCs w:val="44"/>
        </w:rPr>
        <w:t>年度</w:t>
      </w:r>
    </w:p>
    <w:p w14:paraId="76AFFEF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44"/>
          <w:szCs w:val="44"/>
        </w:rPr>
      </w:pPr>
      <w:r>
        <w:rPr>
          <w:rFonts w:hint="eastAsia" w:asciiTheme="majorEastAsia" w:hAnsiTheme="majorEastAsia" w:eastAsiaTheme="majorEastAsia" w:cstheme="majorEastAsia"/>
          <w:b/>
          <w:bCs/>
          <w:sz w:val="44"/>
          <w:szCs w:val="44"/>
        </w:rPr>
        <w:t>法治政府建设情况的报告</w:t>
      </w:r>
    </w:p>
    <w:p w14:paraId="4412D209">
      <w:pPr>
        <w:keepNext w:val="0"/>
        <w:keepLines w:val="0"/>
        <w:pageBreakBefore w:val="0"/>
        <w:widowControl w:val="0"/>
        <w:kinsoku/>
        <w:wordWrap/>
        <w:overflowPunct/>
        <w:topLinePunct w:val="0"/>
        <w:autoSpaceDE/>
        <w:autoSpaceDN/>
        <w:bidi w:val="0"/>
        <w:adjustRightInd/>
        <w:snapToGrid/>
        <w:spacing w:line="540" w:lineRule="exact"/>
        <w:jc w:val="center"/>
        <w:textAlignment w:val="auto"/>
        <w:rPr>
          <w:rFonts w:hint="eastAsia" w:asciiTheme="majorEastAsia" w:hAnsiTheme="majorEastAsia" w:eastAsiaTheme="majorEastAsia" w:cstheme="majorEastAsia"/>
          <w:sz w:val="44"/>
          <w:szCs w:val="44"/>
        </w:rPr>
      </w:pPr>
    </w:p>
    <w:p w14:paraId="386731C2">
      <w:pPr>
        <w:keepNext w:val="0"/>
        <w:keepLines w:val="0"/>
        <w:pageBreakBefore w:val="0"/>
        <w:widowControl w:val="0"/>
        <w:kinsoku/>
        <w:wordWrap/>
        <w:overflowPunct/>
        <w:topLinePunct w:val="0"/>
        <w:autoSpaceDE/>
        <w:autoSpaceDN/>
        <w:bidi w:val="0"/>
        <w:adjustRightInd/>
        <w:snapToGrid/>
        <w:spacing w:line="540" w:lineRule="exact"/>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县委、县政府：</w:t>
      </w:r>
    </w:p>
    <w:p w14:paraId="0D8B8243">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2025年，我局坚持以习近平新时代中国特色社会主义思想为指导，深入学习贯彻习近平法治思想和习近平总书记关于加强和改进人民信访工作的重要思想，全面落实《信访工作条例》，以推进信访工作法治化为核心，扎实开展法治政府建设各项工作，为维护群众合法权益、促进社会和谐稳定提供了坚实法治保障。现将有关情况报告如下：</w:t>
      </w:r>
    </w:p>
    <w:p w14:paraId="1ADF60E9">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val="en-US" w:eastAsia="zh-CN"/>
        </w:rPr>
      </w:pPr>
      <w:r>
        <w:rPr>
          <w:rFonts w:hint="eastAsia" w:ascii="黑体" w:hAnsi="黑体" w:eastAsia="黑体" w:cs="黑体"/>
          <w:sz w:val="32"/>
          <w:szCs w:val="32"/>
          <w:lang w:val="en-US" w:eastAsia="zh-CN"/>
        </w:rPr>
        <w:t>一、2025年法治政府建设基本情况</w:t>
      </w:r>
    </w:p>
    <w:p w14:paraId="0C063666">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完善制度体系，规范工作流程</w:t>
      </w:r>
    </w:p>
    <w:p w14:paraId="4401305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在贯彻《信访工作条例》基础上，完善了信访事项受理办理、复查复核等信访工作制度，明确了信访事项的受理、办理、转办、交办、督办等各个环节的标准和要求，</w:t>
      </w:r>
      <w:r>
        <w:rPr>
          <w:rFonts w:hint="eastAsia" w:ascii="仿宋" w:hAnsi="仿宋" w:eastAsia="仿宋"/>
          <w:sz w:val="32"/>
          <w:szCs w:val="32"/>
        </w:rPr>
        <w:t>不断提升信访工作治理水平</w:t>
      </w:r>
      <w:r>
        <w:rPr>
          <w:rFonts w:hint="eastAsia" w:ascii="仿宋" w:hAnsi="仿宋" w:eastAsia="仿宋"/>
          <w:sz w:val="32"/>
          <w:szCs w:val="32"/>
          <w:lang w:eastAsia="zh-CN"/>
        </w:rPr>
        <w:t>，</w:t>
      </w:r>
      <w:r>
        <w:rPr>
          <w:rFonts w:hint="eastAsia" w:ascii="仿宋" w:hAnsi="仿宋" w:eastAsia="仿宋" w:cs="仿宋"/>
          <w:sz w:val="32"/>
          <w:szCs w:val="32"/>
          <w:lang w:val="en-US" w:eastAsia="zh-CN"/>
        </w:rPr>
        <w:t>确保了信访工作的规范化、法治化。</w:t>
      </w:r>
    </w:p>
    <w:p w14:paraId="279715F9">
      <w:pPr>
        <w:keepNext w:val="0"/>
        <w:keepLines w:val="0"/>
        <w:pageBreakBefore w:val="0"/>
        <w:widowControl w:val="0"/>
        <w:numPr>
          <w:ilvl w:val="0"/>
          <w:numId w:val="1"/>
        </w:numPr>
        <w:kinsoku/>
        <w:wordWrap/>
        <w:overflowPunct/>
        <w:topLinePunct w:val="0"/>
        <w:autoSpaceDE/>
        <w:autoSpaceDN/>
        <w:bidi w:val="0"/>
        <w:adjustRightInd/>
        <w:snapToGrid/>
        <w:spacing w:line="540" w:lineRule="exact"/>
        <w:ind w:left="0" w:leftChars="0"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推动信访法治化，提升治理效能</w:t>
      </w:r>
    </w:p>
    <w:p w14:paraId="487BC651">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 w:val="0"/>
          <w:bCs w:val="0"/>
          <w:color w:val="000000" w:themeColor="text1"/>
          <w:sz w:val="32"/>
          <w:szCs w:val="32"/>
          <w:lang w:val="en-US" w:eastAsia="zh-CN"/>
          <w14:textFill>
            <w14:solidFill>
              <w14:schemeClr w14:val="tx1"/>
            </w14:solidFill>
          </w14:textFill>
        </w:rPr>
      </w:pPr>
      <w:r>
        <w:rPr>
          <w:rFonts w:hint="eastAsia" w:ascii="仿宋" w:hAnsi="仿宋" w:eastAsia="仿宋" w:cs="仿宋"/>
          <w:b w:val="0"/>
          <w:bCs w:val="0"/>
          <w:color w:val="000000" w:themeColor="text1"/>
          <w:sz w:val="32"/>
          <w:szCs w:val="32"/>
          <w14:textFill>
            <w14:solidFill>
              <w14:schemeClr w14:val="tx1"/>
            </w14:solidFill>
          </w14:textFill>
        </w:rPr>
        <w:t>严抓受理办理规范化建设，</w:t>
      </w:r>
      <w:r>
        <w:rPr>
          <w:rFonts w:hint="eastAsia" w:ascii="仿宋" w:hAnsi="仿宋" w:eastAsia="仿宋" w:cs="仿宋"/>
          <w:b w:val="0"/>
          <w:bCs w:val="0"/>
          <w:color w:val="000000" w:themeColor="text1"/>
          <w:sz w:val="32"/>
          <w:szCs w:val="32"/>
          <w:lang w:val="en-US" w:eastAsia="zh-CN"/>
          <w14:textFill>
            <w14:solidFill>
              <w14:schemeClr w14:val="tx1"/>
            </w14:solidFill>
          </w14:textFill>
        </w:rPr>
        <w:t>我县信访事项及时受理率、按期答复率均为100%；</w:t>
      </w:r>
      <w:r>
        <w:rPr>
          <w:rFonts w:hint="eastAsia" w:ascii="仿宋" w:hAnsi="仿宋" w:eastAsia="仿宋" w:cs="仿宋"/>
          <w:b w:val="0"/>
          <w:bCs w:val="0"/>
          <w:color w:val="000000" w:themeColor="text1"/>
          <w:sz w:val="32"/>
          <w:szCs w:val="32"/>
          <w14:textFill>
            <w14:solidFill>
              <w14:schemeClr w14:val="tx1"/>
            </w14:solidFill>
          </w14:textFill>
        </w:rPr>
        <w:t>严格落实信访工作责任制，重要会事期间开展了3次信访安全保障工作督导督查，共发现问题5类38个，涉及乡镇和涉事部门12家，按规定下发了</w:t>
      </w:r>
      <w:r>
        <w:rPr>
          <w:rFonts w:hint="eastAsia" w:ascii="仿宋" w:hAnsi="仿宋" w:eastAsia="仿宋" w:cs="仿宋"/>
          <w:b w:val="0"/>
          <w:bCs w:val="0"/>
          <w:color w:val="000000" w:themeColor="text1"/>
          <w:sz w:val="32"/>
          <w:szCs w:val="32"/>
          <w:lang w:val="en-US" w:eastAsia="zh-CN"/>
          <w14:textFill>
            <w14:solidFill>
              <w14:schemeClr w14:val="tx1"/>
            </w14:solidFill>
          </w14:textFill>
        </w:rPr>
        <w:t>10份</w:t>
      </w:r>
      <w:r>
        <w:rPr>
          <w:rFonts w:hint="eastAsia" w:ascii="仿宋" w:hAnsi="仿宋" w:eastAsia="仿宋" w:cs="仿宋"/>
          <w:b w:val="0"/>
          <w:bCs w:val="0"/>
          <w:color w:val="000000" w:themeColor="text1"/>
          <w:sz w:val="32"/>
          <w:szCs w:val="32"/>
          <w14:textFill>
            <w14:solidFill>
              <w14:schemeClr w14:val="tx1"/>
            </w14:solidFill>
          </w14:textFill>
        </w:rPr>
        <w:t>改进工作建议</w:t>
      </w:r>
      <w:r>
        <w:rPr>
          <w:rFonts w:hint="eastAsia" w:ascii="仿宋" w:hAnsi="仿宋" w:eastAsia="仿宋" w:cs="仿宋"/>
          <w:b w:val="0"/>
          <w:bCs w:val="0"/>
          <w:color w:val="000000" w:themeColor="text1"/>
          <w:sz w:val="32"/>
          <w:szCs w:val="32"/>
          <w:lang w:val="en-US" w:eastAsia="zh-CN"/>
          <w14:textFill>
            <w14:solidFill>
              <w14:schemeClr w14:val="tx1"/>
            </w14:solidFill>
          </w14:textFill>
        </w:rPr>
        <w:t>函</w:t>
      </w:r>
      <w:r>
        <w:rPr>
          <w:rFonts w:hint="eastAsia" w:ascii="仿宋" w:hAnsi="仿宋" w:eastAsia="仿宋" w:cs="仿宋"/>
          <w:b w:val="0"/>
          <w:bCs w:val="0"/>
          <w:color w:val="000000" w:themeColor="text1"/>
          <w:sz w:val="32"/>
          <w:szCs w:val="32"/>
          <w14:textFill>
            <w14:solidFill>
              <w14:schemeClr w14:val="tx1"/>
            </w14:solidFill>
          </w14:textFill>
        </w:rPr>
        <w:t>，相关部门立行立改</w:t>
      </w:r>
      <w:r>
        <w:rPr>
          <w:rFonts w:hint="eastAsia" w:ascii="仿宋" w:hAnsi="仿宋" w:eastAsia="仿宋" w:cs="仿宋"/>
          <w:b w:val="0"/>
          <w:bCs w:val="0"/>
          <w:color w:val="000000" w:themeColor="text1"/>
          <w:sz w:val="32"/>
          <w:szCs w:val="32"/>
          <w:lang w:eastAsia="zh-CN"/>
          <w14:textFill>
            <w14:solidFill>
              <w14:schemeClr w14:val="tx1"/>
            </w14:solidFill>
          </w14:textFill>
        </w:rPr>
        <w:t>；</w:t>
      </w:r>
      <w:r>
        <w:rPr>
          <w:rFonts w:hint="eastAsia" w:ascii="仿宋" w:hAnsi="仿宋" w:eastAsia="仿宋" w:cs="仿宋"/>
          <w:b w:val="0"/>
          <w:bCs w:val="0"/>
          <w:color w:val="000000" w:themeColor="text1"/>
          <w:sz w:val="32"/>
          <w:szCs w:val="32"/>
          <w14:textFill>
            <w14:solidFill>
              <w14:schemeClr w14:val="tx1"/>
            </w14:solidFill>
          </w14:textFill>
        </w:rPr>
        <w:t>严肃打击违法信访行为，严格落实“三到位一处理”工作原则，共打击信访违法行为</w:t>
      </w:r>
      <w:r>
        <w:rPr>
          <w:rFonts w:hint="eastAsia" w:ascii="仿宋" w:hAnsi="仿宋" w:eastAsia="仿宋" w:cs="仿宋"/>
          <w:b w:val="0"/>
          <w:bCs w:val="0"/>
          <w:color w:val="000000" w:themeColor="text1"/>
          <w:sz w:val="32"/>
          <w:szCs w:val="32"/>
          <w:lang w:val="en-US" w:eastAsia="zh-CN"/>
          <w14:textFill>
            <w14:solidFill>
              <w14:schemeClr w14:val="tx1"/>
            </w14:solidFill>
          </w14:textFill>
        </w:rPr>
        <w:t>3</w:t>
      </w:r>
      <w:r>
        <w:rPr>
          <w:rFonts w:hint="eastAsia" w:ascii="仿宋" w:hAnsi="仿宋" w:eastAsia="仿宋" w:cs="仿宋"/>
          <w:b w:val="0"/>
          <w:bCs w:val="0"/>
          <w:color w:val="000000" w:themeColor="text1"/>
          <w:sz w:val="32"/>
          <w:szCs w:val="32"/>
          <w14:textFill>
            <w14:solidFill>
              <w14:schemeClr w14:val="tx1"/>
            </w14:solidFill>
          </w14:textFill>
        </w:rPr>
        <w:t>起。</w:t>
      </w:r>
    </w:p>
    <w:p w14:paraId="23B392C4">
      <w:pPr>
        <w:pStyle w:val="4"/>
        <w:keepNext w:val="0"/>
        <w:keepLines w:val="0"/>
        <w:pageBreakBefore w:val="0"/>
        <w:widowControl w:val="0"/>
        <w:kinsoku/>
        <w:wordWrap/>
        <w:overflowPunct/>
        <w:topLinePunct w:val="0"/>
        <w:autoSpaceDE/>
        <w:autoSpaceDN/>
        <w:bidi w:val="0"/>
        <w:adjustRightInd/>
        <w:snapToGrid/>
        <w:spacing w:line="540" w:lineRule="exact"/>
        <w:ind w:left="0" w:leftChars="0" w:firstLine="640" w:firstLineChars="200"/>
        <w:textAlignment w:val="auto"/>
        <w:rPr>
          <w:rFonts w:hint="eastAsia" w:ascii="仿宋" w:hAnsi="仿宋" w:eastAsia="仿宋" w:cs="仿宋"/>
          <w:sz w:val="32"/>
          <w:szCs w:val="32"/>
          <w:lang w:val="en-US" w:eastAsia="zh-CN"/>
        </w:rPr>
      </w:pPr>
    </w:p>
    <w:p w14:paraId="74FFCC70">
      <w:pPr>
        <w:keepNext w:val="0"/>
        <w:keepLines w:val="0"/>
        <w:pageBreakBefore w:val="0"/>
        <w:widowControl w:val="0"/>
        <w:kinsoku/>
        <w:wordWrap/>
        <w:overflowPunct/>
        <w:topLinePunct w:val="0"/>
        <w:autoSpaceDE/>
        <w:autoSpaceDN/>
        <w:bidi w:val="0"/>
        <w:adjustRightInd/>
        <w:snapToGrid/>
        <w:spacing w:line="540" w:lineRule="exact"/>
        <w:ind w:firstLine="640" w:firstLineChars="200"/>
        <w:jc w:val="both"/>
        <w:textAlignment w:val="auto"/>
        <w:rPr>
          <w:rFonts w:hint="eastAsia" w:ascii="楷体" w:hAnsi="楷体" w:eastAsia="楷体" w:cs="楷体"/>
          <w:sz w:val="32"/>
          <w:szCs w:val="32"/>
          <w:lang w:val="en-US" w:eastAsia="zh-CN"/>
        </w:rPr>
      </w:pPr>
      <w:r>
        <w:rPr>
          <w:rFonts w:hint="eastAsia" w:ascii="楷体" w:hAnsi="楷体" w:eastAsia="楷体" w:cs="楷体"/>
          <w:sz w:val="32"/>
          <w:szCs w:val="32"/>
          <w:lang w:val="en-US" w:eastAsia="zh-CN"/>
        </w:rPr>
        <w:t>（三）提升受理、办理规范率</w:t>
      </w:r>
    </w:p>
    <w:p w14:paraId="7D1F4199">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一是按照“五化四到位”工作原则规范信访事项全流程。健全了信访事项受理办理审核机制，要求受理告知和送达回证均由工作专员审核上传，处理意见和办理情况报告落实领导审核上报；二是定期开展信访工作法治化培训工作，进一步规范工作办理流程，提高信访工作人员业务能力。今年以来，已开展信访业务培训会2次。</w:t>
      </w:r>
    </w:p>
    <w:p w14:paraId="317718D0">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二、存在的问题和不足</w:t>
      </w:r>
    </w:p>
    <w:p w14:paraId="0073A00A">
      <w:pPr>
        <w:keepNext w:val="0"/>
        <w:keepLines w:val="0"/>
        <w:pageBreakBefore w:val="0"/>
        <w:widowControl w:val="0"/>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一是部分群众对法治的认识还不够深入，依法信访的意识有待加强；二是</w:t>
      </w:r>
      <w:r>
        <w:rPr>
          <w:rFonts w:hint="eastAsia" w:ascii="仿宋" w:hAnsi="仿宋" w:eastAsia="仿宋" w:cs="仿宋"/>
          <w:kern w:val="0"/>
          <w:sz w:val="32"/>
          <w:szCs w:val="32"/>
        </w:rPr>
        <w:t>监督追责、依法打击等制度还需要进一步完善，如“三项建议”</w:t>
      </w:r>
      <w:r>
        <w:rPr>
          <w:rFonts w:hint="eastAsia" w:ascii="仿宋" w:hAnsi="仿宋" w:eastAsia="仿宋" w:cs="仿宋"/>
          <w:kern w:val="0"/>
          <w:sz w:val="32"/>
          <w:szCs w:val="32"/>
          <w:lang w:val="en-US" w:eastAsia="zh-CN"/>
        </w:rPr>
        <w:t>方面</w:t>
      </w:r>
      <w:r>
        <w:rPr>
          <w:rFonts w:hint="eastAsia" w:ascii="仿宋" w:hAnsi="仿宋" w:eastAsia="仿宋" w:cs="仿宋"/>
          <w:kern w:val="0"/>
          <w:sz w:val="32"/>
          <w:szCs w:val="32"/>
        </w:rPr>
        <w:t>还要进一步同相关部门研判具体细则。</w:t>
      </w:r>
    </w:p>
    <w:p w14:paraId="2D5F4B76">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leftChars="0" w:firstLine="640" w:firstLineChars="200"/>
        <w:jc w:val="both"/>
        <w:textAlignment w:val="auto"/>
        <w:rPr>
          <w:rStyle w:val="7"/>
          <w:rFonts w:hint="eastAsia" w:ascii="楷体" w:hAnsi="楷体" w:eastAsia="楷体" w:cs="楷体"/>
          <w:b w:val="0"/>
          <w:bCs w:val="0"/>
          <w:i w:val="0"/>
          <w:iCs w:val="0"/>
          <w:caps w:val="0"/>
          <w:color w:val="1F1F1F"/>
          <w:spacing w:val="0"/>
          <w:sz w:val="32"/>
          <w:szCs w:val="32"/>
          <w:shd w:val="clear" w:fill="FFFFFF"/>
          <w:lang w:eastAsia="zh-CN"/>
        </w:rPr>
      </w:pPr>
      <w:r>
        <w:rPr>
          <w:rFonts w:hint="eastAsia" w:ascii="黑体" w:hAnsi="黑体" w:eastAsia="黑体" w:cs="黑体"/>
          <w:sz w:val="32"/>
          <w:szCs w:val="32"/>
          <w:lang w:val="en-US" w:eastAsia="zh-CN"/>
        </w:rPr>
        <w:t>三、党政主要负责人履行推荐法治建设第一责任人职责</w:t>
      </w:r>
    </w:p>
    <w:p w14:paraId="122B06F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7"/>
          <w:rFonts w:hint="eastAsia" w:ascii="楷体" w:hAnsi="楷体" w:eastAsia="楷体" w:cs="楷体"/>
          <w:b w:val="0"/>
          <w:bCs w:val="0"/>
          <w:i w:val="0"/>
          <w:iCs w:val="0"/>
          <w:caps w:val="0"/>
          <w:color w:val="1F1F1F"/>
          <w:spacing w:val="0"/>
          <w:sz w:val="32"/>
          <w:szCs w:val="32"/>
          <w:shd w:val="clear" w:fill="FFFFFF"/>
        </w:rPr>
      </w:pPr>
      <w:r>
        <w:rPr>
          <w:rStyle w:val="7"/>
          <w:rFonts w:hint="eastAsia" w:ascii="楷体" w:hAnsi="楷体" w:eastAsia="楷体" w:cs="楷体"/>
          <w:b w:val="0"/>
          <w:bCs w:val="0"/>
          <w:i w:val="0"/>
          <w:iCs w:val="0"/>
          <w:caps w:val="0"/>
          <w:color w:val="1F1F1F"/>
          <w:spacing w:val="0"/>
          <w:sz w:val="32"/>
          <w:szCs w:val="32"/>
          <w:shd w:val="clear" w:fill="FFFFFF"/>
          <w:lang w:eastAsia="zh-CN"/>
        </w:rPr>
        <w:t>（</w:t>
      </w:r>
      <w:r>
        <w:rPr>
          <w:rStyle w:val="7"/>
          <w:rFonts w:hint="eastAsia" w:ascii="楷体" w:hAnsi="楷体" w:eastAsia="楷体" w:cs="楷体"/>
          <w:b w:val="0"/>
          <w:bCs w:val="0"/>
          <w:i w:val="0"/>
          <w:iCs w:val="0"/>
          <w:caps w:val="0"/>
          <w:color w:val="1F1F1F"/>
          <w:spacing w:val="0"/>
          <w:sz w:val="32"/>
          <w:szCs w:val="32"/>
          <w:shd w:val="clear" w:fill="FFFFFF"/>
          <w:lang w:val="en-US" w:eastAsia="zh-CN"/>
        </w:rPr>
        <w:t>一）</w:t>
      </w:r>
      <w:r>
        <w:rPr>
          <w:rStyle w:val="7"/>
          <w:rFonts w:hint="eastAsia" w:ascii="楷体" w:hAnsi="楷体" w:eastAsia="楷体" w:cs="楷体"/>
          <w:b w:val="0"/>
          <w:bCs w:val="0"/>
          <w:i w:val="0"/>
          <w:iCs w:val="0"/>
          <w:caps w:val="0"/>
          <w:color w:val="1F1F1F"/>
          <w:spacing w:val="0"/>
          <w:sz w:val="32"/>
          <w:szCs w:val="32"/>
          <w:shd w:val="clear" w:fill="FFFFFF"/>
        </w:rPr>
        <w:t>提高政治站位，深化对全面从严治党、依规治党的认识</w:t>
      </w:r>
    </w:p>
    <w:p w14:paraId="4E525A3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局党政主要负责人深入学习贯彻习近平法治思想，贯彻落实习近平总书记关于法治建设的重要指示精神，始终坚持把党的政治建设摆在首位，严格落实“第一议题”学习制度，带头学习习近平法治思想和信访法律法规，将习近平法治思想、《信访工作条例》及相关法律法规纳入局党组理论学习中心组年度学习计划；组织新任干部参加宪法宣誓仪式，推动领导班子成员述职述法全覆盖，发挥“关键少数”示范作用。</w:t>
      </w:r>
    </w:p>
    <w:p w14:paraId="2E47B043">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Style w:val="7"/>
          <w:rFonts w:hint="eastAsia" w:ascii="楷体" w:hAnsi="楷体" w:eastAsia="楷体" w:cs="楷体"/>
          <w:b w:val="0"/>
          <w:bCs w:val="0"/>
          <w:i w:val="0"/>
          <w:iCs w:val="0"/>
          <w:caps w:val="0"/>
          <w:color w:val="1F1F1F"/>
          <w:spacing w:val="0"/>
          <w:sz w:val="32"/>
          <w:szCs w:val="32"/>
          <w:shd w:val="clear" w:fill="FFFFFF"/>
          <w:lang w:val="en-US" w:eastAsia="zh-CN"/>
        </w:rPr>
      </w:pPr>
      <w:r>
        <w:rPr>
          <w:rStyle w:val="7"/>
          <w:rFonts w:hint="eastAsia" w:ascii="楷体" w:hAnsi="楷体" w:eastAsia="楷体" w:cs="楷体"/>
          <w:b w:val="0"/>
          <w:bCs w:val="0"/>
          <w:i w:val="0"/>
          <w:iCs w:val="0"/>
          <w:caps w:val="0"/>
          <w:color w:val="1F1F1F"/>
          <w:spacing w:val="0"/>
          <w:sz w:val="32"/>
          <w:szCs w:val="32"/>
          <w:shd w:val="clear" w:fill="FFFFFF"/>
          <w:lang w:val="en-US" w:eastAsia="zh-CN"/>
        </w:rPr>
        <w:t>（二）定期听取法治建设有关工作汇报，研究解决重大问题</w:t>
      </w:r>
    </w:p>
    <w:p w14:paraId="027C93F5">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我局建立了法治建设工作定期汇报制度，要求相关科室和部门定期汇报法治建设的进展情况、存在的问题以及下一步的工作计划。通过听取汇报，及时了解和掌握我局法治建设的整体情况，为下一步的工作决策提供有力支持。在听取汇报的基础上，注重研究解决法治建设中的重大问题，组织相关科室进行深入研究，制定切实可行的解决方案，并明确责任人和时间节点，确保问题得到有效解决。</w:t>
      </w:r>
    </w:p>
    <w:p w14:paraId="7380F587">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四、2026年度主要工作安排</w:t>
      </w:r>
    </w:p>
    <w:p w14:paraId="1C8D9EAD">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加大普法宣传力度</w:t>
      </w:r>
    </w:p>
    <w:p w14:paraId="2D513672">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一是加大法制宣传教育力度。积极营造依法行政、依法信访的氛围，引导群众依法进行信访活动。二是加大《信访工作条例》及信访法治化工作宣传教育力度。把信访法治化工作中“两个不再受理”、“三个不予受理”“四个到位”“五个法治化”的宣传融入信访活动的全过程，引导信访人依法信访。</w:t>
      </w:r>
    </w:p>
    <w:p w14:paraId="7860FEFD">
      <w:pPr>
        <w:keepNext w:val="0"/>
        <w:keepLines w:val="0"/>
        <w:pageBreakBefore w:val="0"/>
        <w:widowControl w:val="0"/>
        <w:numPr>
          <w:ilvl w:val="0"/>
          <w:numId w:val="2"/>
        </w:numPr>
        <w:kinsoku/>
        <w:wordWrap/>
        <w:overflowPunct/>
        <w:topLinePunct w:val="0"/>
        <w:autoSpaceDE/>
        <w:autoSpaceDN/>
        <w:bidi w:val="0"/>
        <w:adjustRightInd/>
        <w:snapToGrid/>
        <w:spacing w:line="540" w:lineRule="exact"/>
        <w:ind w:left="0" w:leftChars="0" w:firstLine="640" w:firstLineChars="200"/>
        <w:textAlignment w:val="auto"/>
        <w:rPr>
          <w:rFonts w:hint="eastAsia" w:ascii="楷体" w:hAnsi="楷体" w:eastAsia="楷体" w:cs="楷体"/>
          <w:b w:val="0"/>
          <w:bCs w:val="0"/>
          <w:sz w:val="32"/>
          <w:szCs w:val="32"/>
          <w:lang w:val="en-US" w:eastAsia="zh-CN"/>
        </w:rPr>
      </w:pPr>
      <w:r>
        <w:rPr>
          <w:rFonts w:hint="eastAsia" w:ascii="楷体" w:hAnsi="楷体" w:eastAsia="楷体" w:cs="楷体"/>
          <w:b w:val="0"/>
          <w:bCs w:val="0"/>
          <w:sz w:val="32"/>
          <w:szCs w:val="32"/>
          <w:lang w:val="en-US" w:eastAsia="zh-CN"/>
        </w:rPr>
        <w:t>强化推进信访积案化解</w:t>
      </w:r>
    </w:p>
    <w:p w14:paraId="6617677C">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textAlignment w:val="auto"/>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严格落实首办责任，实行“即接即办”工作模式。信访部门及时受理、准确转办交办、全程跟踪督办，一盯到底；责任单位优化流程，对初次信访事项落实领导包案机制，坚持一周调度受理情况，半月调度办结情況，一个月调度化解情况，跟进督导推动化解，切实提升一次性化解率和群众满意率。</w:t>
      </w:r>
    </w:p>
    <w:p w14:paraId="55634A0E">
      <w:pPr>
        <w:keepNext w:val="0"/>
        <w:keepLines w:val="0"/>
        <w:pageBreakBefore w:val="0"/>
        <w:widowControl w:val="0"/>
        <w:numPr>
          <w:ilvl w:val="0"/>
          <w:numId w:val="0"/>
        </w:numPr>
        <w:kinsoku/>
        <w:wordWrap/>
        <w:overflowPunct/>
        <w:topLinePunct w:val="0"/>
        <w:autoSpaceDE/>
        <w:autoSpaceDN/>
        <w:bidi w:val="0"/>
        <w:adjustRightInd/>
        <w:snapToGrid/>
        <w:spacing w:line="540" w:lineRule="exact"/>
        <w:ind w:firstLine="640" w:firstLineChars="200"/>
        <w:jc w:val="center"/>
        <w:textAlignment w:val="auto"/>
        <w:rPr>
          <w:rFonts w:hint="default" w:ascii="仿宋" w:hAnsi="仿宋" w:eastAsia="仿宋" w:cs="仿宋"/>
          <w:b w:val="0"/>
          <w:bCs w:val="0"/>
          <w:sz w:val="32"/>
          <w:szCs w:val="32"/>
          <w:lang w:val="en-US" w:eastAsia="zh-CN"/>
        </w:rPr>
      </w:pP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1C1BA8"/>
    <w:multiLevelType w:val="singleLevel"/>
    <w:tmpl w:val="931C1BA8"/>
    <w:lvl w:ilvl="0" w:tentative="0">
      <w:start w:val="1"/>
      <w:numFmt w:val="chineseCounting"/>
      <w:suff w:val="nothing"/>
      <w:lvlText w:val="（%1）"/>
      <w:lvlJc w:val="left"/>
      <w:rPr>
        <w:rFonts w:hint="eastAsia"/>
      </w:rPr>
    </w:lvl>
  </w:abstractNum>
  <w:abstractNum w:abstractNumId="1">
    <w:nsid w:val="E586A0D5"/>
    <w:multiLevelType w:val="singleLevel"/>
    <w:tmpl w:val="E586A0D5"/>
    <w:lvl w:ilvl="0" w:tentative="0">
      <w:start w:val="1"/>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9E479A"/>
    <w:rsid w:val="04770389"/>
    <w:rsid w:val="04C14D18"/>
    <w:rsid w:val="08A801D2"/>
    <w:rsid w:val="271F312C"/>
    <w:rsid w:val="274A6DDF"/>
    <w:rsid w:val="31FA19F8"/>
    <w:rsid w:val="7FC248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Indent"/>
    <w:basedOn w:val="1"/>
    <w:next w:val="1"/>
    <w:qFormat/>
    <w:uiPriority w:val="0"/>
    <w:pPr>
      <w:ind w:firstLine="570"/>
    </w:pPr>
    <w:rPr>
      <w:sz w:val="32"/>
    </w:r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paragraph" w:styleId="4">
    <w:name w:val="Body Text First Indent 2"/>
    <w:basedOn w:val="2"/>
    <w:next w:val="1"/>
    <w:qFormat/>
    <w:uiPriority w:val="0"/>
    <w:pPr>
      <w:ind w:left="0" w:leftChars="0" w:firstLine="960"/>
    </w:pPr>
  </w:style>
  <w:style w:type="character" w:styleId="7">
    <w:name w:val="Strong"/>
    <w:basedOn w:val="6"/>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1463</Words>
  <Characters>1486</Characters>
  <Lines>0</Lines>
  <Paragraphs>0</Paragraphs>
  <TotalTime>3</TotalTime>
  <ScaleCrop>false</ScaleCrop>
  <LinksUpToDate>false</LinksUpToDate>
  <CharactersWithSpaces>1516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2024-12-02T01:46:00Z</dcterms:created>
  <dc:creator>123</dc:creator>
  <cp:lastModifiedBy>A  . 赱赱檤，銩ㄋ</cp:lastModifiedBy>
  <dcterms:modified xsi:type="dcterms:W3CDTF">2025-10-28T06:39:04Z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1F9786BA4B8A4A839F30C50B1807E1D8_12</vt:lpwstr>
  </property>
  <property fmtid="{D5CDD505-2E9C-101B-9397-08002B2CF9AE}" pid="4" name="KSOTemplateDocerSaveRecord">
    <vt:lpwstr>eyJoZGlkIjoiZmNiYzhjOGM1OGQ5MWQ2NTkxMmUyMTVlYThmYWMyZGQiLCJ1c2VySWQiOiIyMzg2NjM5ODMifQ==</vt:lpwstr>
  </property>
</Properties>
</file>