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8ACBD">
      <w:pPr>
        <w:jc w:val="center"/>
        <w:rPr>
          <w:rFonts w:hint="eastAsia" w:ascii="宋体" w:hAnsi="宋体" w:eastAsia="宋体" w:cs="宋体"/>
          <w:b/>
          <w:bCs/>
          <w:sz w:val="44"/>
          <w:szCs w:val="52"/>
          <w:lang w:val="en-US" w:eastAsia="zh-CN"/>
        </w:rPr>
      </w:pPr>
      <w:r>
        <w:rPr>
          <w:rFonts w:hint="eastAsia" w:ascii="宋体" w:hAnsi="宋体" w:eastAsia="宋体" w:cs="宋体"/>
          <w:b/>
          <w:bCs/>
          <w:sz w:val="44"/>
          <w:szCs w:val="52"/>
          <w:lang w:val="en-US" w:eastAsia="zh-CN"/>
        </w:rPr>
        <w:t>司法局关于2025年度</w:t>
      </w:r>
    </w:p>
    <w:p w14:paraId="7AFE4926">
      <w:pPr>
        <w:jc w:val="center"/>
        <w:rPr>
          <w:rFonts w:hint="eastAsia" w:ascii="宋体" w:hAnsi="宋体" w:eastAsia="宋体" w:cs="宋体"/>
          <w:b/>
          <w:bCs/>
          <w:sz w:val="44"/>
          <w:szCs w:val="52"/>
          <w:lang w:val="en-US" w:eastAsia="zh-CN"/>
        </w:rPr>
      </w:pPr>
      <w:r>
        <w:rPr>
          <w:rFonts w:hint="eastAsia" w:ascii="宋体" w:hAnsi="宋体" w:eastAsia="宋体" w:cs="宋体"/>
          <w:b/>
          <w:bCs/>
          <w:sz w:val="44"/>
          <w:szCs w:val="52"/>
          <w:lang w:val="en-US" w:eastAsia="zh-CN"/>
        </w:rPr>
        <w:t>法治政府建设情况的报告</w:t>
      </w:r>
    </w:p>
    <w:p w14:paraId="2AA465F9">
      <w:pPr>
        <w:jc w:val="center"/>
        <w:rPr>
          <w:rFonts w:hint="eastAsia" w:ascii="宋体" w:hAnsi="宋体" w:eastAsia="宋体" w:cs="宋体"/>
          <w:b/>
          <w:bCs/>
          <w:sz w:val="44"/>
          <w:szCs w:val="52"/>
          <w:lang w:val="en-US" w:eastAsia="zh-CN"/>
        </w:rPr>
      </w:pPr>
    </w:p>
    <w:p w14:paraId="5DAEC2A7">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县委、县政府：</w:t>
      </w:r>
    </w:p>
    <w:p w14:paraId="5388589B">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2025年度，在县委、县政府的正确领导下，县司法局坚持以习近平法治思想为指导，紧紧围绕县委县政府重点工作，扎实推进法治政府建设。现将具体情况报告如下：</w:t>
      </w:r>
    </w:p>
    <w:p w14:paraId="7EACBFDF">
      <w:pPr>
        <w:ind w:firstLine="640"/>
        <w:jc w:val="both"/>
        <w:rPr>
          <w:rFonts w:hint="eastAsia" w:ascii="仿宋" w:hAnsi="仿宋" w:eastAsia="仿宋" w:cs="仿宋"/>
          <w:lang w:val="en-US" w:eastAsia="zh-CN"/>
        </w:rPr>
      </w:pPr>
      <w:r>
        <w:rPr>
          <w:rFonts w:hint="eastAsia" w:ascii="黑体" w:hAnsi="黑体" w:eastAsia="黑体" w:cs="黑体"/>
          <w:b w:val="0"/>
          <w:bCs w:val="0"/>
          <w:sz w:val="32"/>
          <w:szCs w:val="32"/>
          <w:lang w:val="en-US" w:eastAsia="zh-CN"/>
        </w:rPr>
        <w:t>一、2025年法治政府建设基本情况</w:t>
      </w:r>
    </w:p>
    <w:p w14:paraId="40B3B2CD">
      <w:pPr>
        <w:ind w:firstLine="640" w:firstLineChars="200"/>
        <w:rPr>
          <w:rFonts w:hint="eastAsia" w:ascii="楷体" w:hAnsi="楷体" w:eastAsia="楷体" w:cs="楷体"/>
          <w:sz w:val="32"/>
          <w:szCs w:val="40"/>
        </w:rPr>
      </w:pPr>
      <w:r>
        <w:rPr>
          <w:rFonts w:hint="eastAsia" w:ascii="楷体_GB2312" w:hAnsi="楷体_GB2312" w:eastAsia="楷体_GB2312" w:cs="楷体_GB2312"/>
          <w:color w:val="auto"/>
          <w:spacing w:val="0"/>
          <w:w w:val="100"/>
          <w:sz w:val="32"/>
          <w:szCs w:val="32"/>
          <w:lang w:val="en-US" w:eastAsia="zh-CN"/>
        </w:rPr>
        <w:t>(一)</w:t>
      </w:r>
      <w:r>
        <w:rPr>
          <w:rFonts w:hint="eastAsia" w:ascii="楷体" w:hAnsi="楷体" w:eastAsia="楷体" w:cs="楷体"/>
          <w:sz w:val="32"/>
          <w:szCs w:val="40"/>
        </w:rPr>
        <w:t>深入学习宣传贯彻习近平法治思想</w:t>
      </w:r>
    </w:p>
    <w:p w14:paraId="139B4DEB">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强化理论武装</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将习近平法治思想纳入局党组理论学习中心组和机关干部年度学习计划，通过</w:t>
      </w:r>
      <w:r>
        <w:rPr>
          <w:rFonts w:hint="eastAsia" w:ascii="仿宋_GB2312" w:hAnsi="仿宋_GB2312" w:eastAsia="仿宋_GB2312" w:cs="仿宋_GB2312"/>
          <w:sz w:val="32"/>
          <w:szCs w:val="32"/>
          <w:lang w:val="en-US" w:eastAsia="zh-CN"/>
        </w:rPr>
        <w:t>自主学习、</w:t>
      </w:r>
      <w:r>
        <w:rPr>
          <w:rFonts w:hint="default" w:ascii="仿宋_GB2312" w:hAnsi="仿宋_GB2312" w:eastAsia="仿宋_GB2312" w:cs="仿宋_GB2312"/>
          <w:sz w:val="32"/>
          <w:szCs w:val="32"/>
          <w:lang w:val="en-US" w:eastAsia="zh-CN"/>
        </w:rPr>
        <w:t>研讨等形式，深刻领会其核心要义和实践要求，</w:t>
      </w:r>
      <w:r>
        <w:rPr>
          <w:rFonts w:hint="eastAsia" w:ascii="仿宋_GB2312" w:hAnsi="仿宋_GB2312" w:eastAsia="仿宋_GB2312" w:cs="仿宋_GB2312"/>
          <w:sz w:val="32"/>
          <w:szCs w:val="32"/>
          <w:lang w:val="en-US" w:eastAsia="zh-CN"/>
        </w:rPr>
        <w:t>筑牢法治思想根基，</w:t>
      </w:r>
      <w:r>
        <w:rPr>
          <w:rFonts w:hint="default" w:ascii="仿宋_GB2312" w:hAnsi="仿宋_GB2312" w:eastAsia="仿宋_GB2312" w:cs="仿宋_GB2312"/>
          <w:sz w:val="32"/>
          <w:szCs w:val="32"/>
          <w:lang w:val="en-US" w:eastAsia="zh-CN"/>
        </w:rPr>
        <w:t>增强干部职工法治思维和依法办事能力</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我局党组理论中心组共组织学习习近平法治思想（包含扩大会）</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Hans"/>
        </w:rPr>
        <w:t>次，组织召开全局习近平法治思想专题学习班</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Hans"/>
        </w:rPr>
        <w:t>次，习近平法治思想的学习覆盖面在全局达到了</w:t>
      </w:r>
      <w:r>
        <w:rPr>
          <w:rFonts w:hint="default" w:ascii="仿宋_GB2312" w:hAnsi="仿宋_GB2312" w:eastAsia="仿宋_GB2312" w:cs="仿宋_GB2312"/>
          <w:sz w:val="32"/>
          <w:szCs w:val="32"/>
          <w:lang w:val="en-US" w:eastAsia="zh-Hans"/>
        </w:rPr>
        <w:t>100%</w:t>
      </w:r>
      <w:r>
        <w:rPr>
          <w:rFonts w:hint="eastAsia" w:ascii="仿宋_GB2312" w:hAnsi="仿宋_GB2312" w:eastAsia="仿宋_GB2312" w:cs="仿宋_GB2312"/>
          <w:sz w:val="32"/>
          <w:szCs w:val="32"/>
          <w:lang w:val="en-US" w:eastAsia="zh-CN"/>
        </w:rPr>
        <w:t>。</w:t>
      </w:r>
    </w:p>
    <w:p w14:paraId="1890A77A">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Hans"/>
        </w:rPr>
        <w:t>二</w:t>
      </w:r>
      <w:r>
        <w:rPr>
          <w:rFonts w:hint="eastAsia" w:ascii="楷体_GB2312" w:hAnsi="楷体_GB2312" w:eastAsia="楷体_GB2312" w:cs="楷体_GB2312"/>
          <w:sz w:val="32"/>
          <w:szCs w:val="32"/>
          <w:lang w:eastAsia="zh-Hans"/>
        </w:rPr>
        <w:t>）</w:t>
      </w:r>
      <w:r>
        <w:rPr>
          <w:rFonts w:hint="eastAsia" w:ascii="楷体_GB2312" w:hAnsi="楷体_GB2312" w:eastAsia="楷体_GB2312" w:cs="楷体_GB2312"/>
          <w:sz w:val="32"/>
          <w:szCs w:val="32"/>
        </w:rPr>
        <w:t>深入推进法治政府建设</w:t>
      </w:r>
    </w:p>
    <w:p w14:paraId="39B36889">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Hans"/>
        </w:rPr>
        <w:t>加强法制审核。加强规范性文件的审查、备案、清理工作，严格重大决策、重</w:t>
      </w:r>
      <w:r>
        <w:rPr>
          <w:rFonts w:hint="eastAsia" w:ascii="仿宋_GB2312" w:hAnsi="仿宋_GB2312" w:eastAsia="仿宋_GB2312" w:cs="仿宋_GB2312"/>
          <w:sz w:val="32"/>
          <w:szCs w:val="32"/>
        </w:rPr>
        <w:t>大合同的合法性审查。今年以来，</w:t>
      </w:r>
      <w:r>
        <w:rPr>
          <w:rFonts w:hint="eastAsia" w:ascii="仿宋_GB2312" w:hAnsi="仿宋_GB2312" w:eastAsia="仿宋_GB2312" w:cs="仿宋_GB2312"/>
          <w:sz w:val="32"/>
          <w:szCs w:val="32"/>
          <w:highlight w:val="none"/>
        </w:rPr>
        <w:t>共审查规范性文件</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件，</w:t>
      </w:r>
      <w:r>
        <w:rPr>
          <w:rFonts w:hint="eastAsia" w:ascii="仿宋_GB2312" w:hAnsi="仿宋_GB2312" w:eastAsia="仿宋_GB2312" w:cs="仿宋_GB2312"/>
          <w:sz w:val="32"/>
          <w:szCs w:val="32"/>
          <w:highlight w:val="none"/>
          <w:lang w:val="en-US" w:eastAsia="zh-Hans"/>
        </w:rPr>
        <w:t>重大行政决策合法性审查受理并出具审核意见书</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Hans"/>
        </w:rPr>
        <w:t>件</w:t>
      </w:r>
      <w:r>
        <w:rPr>
          <w:rFonts w:hint="eastAsia" w:ascii="仿宋_GB2312" w:hAnsi="仿宋_GB2312" w:eastAsia="仿宋_GB2312" w:cs="仿宋_GB2312"/>
          <w:sz w:val="32"/>
          <w:szCs w:val="32"/>
          <w:lang w:eastAsia="zh-Hans"/>
        </w:rPr>
        <w:t>。</w:t>
      </w:r>
    </w:p>
    <w:p w14:paraId="5B07E555">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eastAsia" w:ascii="仿宋_GB2312" w:hAnsi="仿宋_GB2312" w:eastAsia="仿宋_GB2312" w:cs="仿宋_GB2312"/>
          <w:sz w:val="32"/>
          <w:szCs w:val="32"/>
          <w:highlight w:val="red"/>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Hans"/>
        </w:rPr>
        <w:t>强</w:t>
      </w:r>
      <w:r>
        <w:rPr>
          <w:rFonts w:hint="eastAsia" w:ascii="仿宋_GB2312" w:hAnsi="仿宋_GB2312" w:eastAsia="仿宋_GB2312" w:cs="仿宋_GB2312"/>
          <w:sz w:val="32"/>
          <w:szCs w:val="32"/>
          <w:lang w:val="en-US" w:eastAsia="zh-Hans"/>
        </w:rPr>
        <w:t>化复议应诉。持续落实行政机关负责人出席行政复议制度，强化行政复</w:t>
      </w:r>
      <w:r>
        <w:rPr>
          <w:rFonts w:hint="eastAsia" w:ascii="仿宋_GB2312" w:hAnsi="仿宋_GB2312" w:eastAsia="仿宋_GB2312" w:cs="仿宋_GB2312"/>
          <w:sz w:val="32"/>
          <w:szCs w:val="32"/>
        </w:rPr>
        <w:t>议案件回访制度，严格执行行政应诉案件备案制度。202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年度收到复议申请</w:t>
      </w:r>
      <w:r>
        <w:rPr>
          <w:rFonts w:hint="eastAsia" w:ascii="仿宋_GB2312" w:hAnsi="仿宋_GB2312" w:eastAsia="仿宋_GB2312" w:cs="仿宋_GB2312"/>
          <w:kern w:val="2"/>
          <w:sz w:val="32"/>
          <w:szCs w:val="32"/>
          <w:lang w:val="en-US" w:eastAsia="zh-CN" w:bidi="ar-SA"/>
        </w:rPr>
        <w:t>74件，不予受理6件；其中听证案件数为30件。</w:t>
      </w:r>
    </w:p>
    <w:p w14:paraId="6A0D24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Hans"/>
        </w:rPr>
        <w:t>.</w:t>
      </w:r>
      <w:r>
        <w:rPr>
          <w:rFonts w:hint="eastAsia" w:ascii="仿宋_GB2312" w:hAnsi="仿宋_GB2312" w:eastAsia="仿宋_GB2312" w:cs="仿宋_GB2312"/>
          <w:b/>
          <w:bCs/>
          <w:sz w:val="32"/>
          <w:szCs w:val="32"/>
        </w:rPr>
        <w:t>加强行政执法</w:t>
      </w:r>
      <w:r>
        <w:rPr>
          <w:rFonts w:hint="eastAsia" w:ascii="仿宋" w:hAnsi="仿宋" w:eastAsia="仿宋" w:cs="仿宋"/>
          <w:b/>
          <w:bCs/>
          <w:color w:val="auto"/>
          <w:sz w:val="32"/>
          <w:szCs w:val="32"/>
          <w:lang w:eastAsia="zh-CN"/>
        </w:rPr>
        <w:t>队伍正规化建设</w:t>
      </w:r>
      <w:r>
        <w:rPr>
          <w:rFonts w:hint="eastAsia" w:ascii="仿宋_GB2312" w:hAnsi="仿宋_GB2312" w:eastAsia="仿宋_GB2312" w:cs="仿宋_GB2312"/>
          <w:b/>
          <w:bCs/>
          <w:sz w:val="32"/>
          <w:szCs w:val="32"/>
        </w:rPr>
        <w:t>。</w:t>
      </w:r>
    </w:p>
    <w:p w14:paraId="4D6AFAF2">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严格依法依规进行委托执法；行政执法部门编制“四张流程图”，建立完善包容审慎监管执法“四张清单”、“一案三书”及“首违不罚清单”工作制度，规范行政执法程序；正确适用裁量权行使规则。各乡镇（街道）开展行政执法业务培训，完善管理制度，根据行政执法事项清单开展行政执法。严格实行行政执法证件动态管理，县域行政执法队伍中持证人员800人。</w:t>
      </w:r>
    </w:p>
    <w:p w14:paraId="16619D82">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开展规范涉企行政执法工作。制定《伊通满族自治县规范涉企执法专项行动实施方案》，明确“动员部署、问题排查、集中整改、巩固提升”四阶段任务；印发《规范涉企行政执法工作规范（试行）》，提出执法人员“五个必须”要求；梳理全县43家行政机关473项涉企检查事项，全部纳入“清单管理”并在政府门户网站公示。严格执行“双随机、一公开”监管，依托“吉林省一体化在线监管平台”审核年度检查计划159项、跨部门联合抽查计划95项，办理计划变更22项、终止5项。多维排查整治执法乱象，组织40个执法部门开展“全面体检式”自查，梳理问题48个；走访企业商铺100余家，发放调查问卷110份；联合12345热线、信访局、法院共享线索，梳理投诉工单700余条，抽查执法案卷70余卷，向纪委监委移送线索1条。截至2025年10月，累计发现涉企执法问题107个、“整治6种执法行为”相关问题34个，均已全部整改完毕。</w:t>
      </w:r>
    </w:p>
    <w:p w14:paraId="129BF3AE">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 w:hAnsi="仿宋" w:eastAsia="仿宋" w:cs="仿宋"/>
          <w:color w:val="auto"/>
          <w:sz w:val="32"/>
          <w:szCs w:val="32"/>
          <w:lang w:val="en-US" w:eastAsia="zh-CN"/>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持续推进“八五”普法工作</w:t>
      </w:r>
      <w:r>
        <w:rPr>
          <w:rFonts w:hint="eastAsia" w:ascii="仿宋" w:hAnsi="仿宋" w:eastAsia="仿宋" w:cs="仿宋"/>
          <w:color w:val="auto"/>
          <w:sz w:val="32"/>
          <w:szCs w:val="32"/>
          <w:lang w:val="en-US" w:eastAsia="zh-CN"/>
        </w:rPr>
        <w:t>。</w:t>
      </w:r>
    </w:p>
    <w:p w14:paraId="6269B6B3">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重点以习近平法治思想、《宪法》、《民法典》、党内法规为主要内容，多措并举，全方位开展普法宣传活动。各部门落实“谁执法谁普法”普法责任制，开展“以案释法”50余次，其中伊通人民法院法官“以案释法”、解答法律咨询、解读生活类法律案例、发放宣传资料10余次等。深入推动习近平法治思想学习宣传讲座等进农村、进社区、进机关、进企业、进校园、进网络20余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积极开展“民法典宣传月”“宪法宣传周”集中宣传活动，展出宣传展板30余块，发放各类宣传材料3000余份。</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充分发挥“法律明白人”基层普法、助理基层法治建设重要作用，持续推进“法律明白人”培养工程，目前实现每个行政村至少有“法律明白人”5个，深入乡村开展“法律明白人”培训20次。</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持续做好重点领域普法。按照省级司法行政部门统一安排，组织开展“法护营商”专项行动，通过发放普法联系卡等方式，对企业开展菜单式普法、点单式服务，做到对企业无事不扰、有求必应，共开展送法进企业6次，有效提高了企业的法律意识和维权意识。</w:t>
      </w:r>
    </w:p>
    <w:p w14:paraId="3941C04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二、2025年推进法治政府建设存在的不足和原因</w:t>
      </w:r>
    </w:p>
    <w:p w14:paraId="1F21BEA9">
      <w:pPr>
        <w:keepNext w:val="0"/>
        <w:keepLines w:val="0"/>
        <w:pageBreakBefore w:val="0"/>
        <w:kinsoku/>
        <w:wordWrap/>
        <w:overflowPunct/>
        <w:topLinePunct w:val="0"/>
        <w:autoSpaceDE/>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sz w:val="32"/>
          <w:szCs w:val="32"/>
          <w:lang w:eastAsia="zh-Hans"/>
        </w:rPr>
        <w:t>（</w:t>
      </w:r>
      <w:r>
        <w:rPr>
          <w:rFonts w:hint="eastAsia" w:ascii="楷体_GB2312" w:hAnsi="楷体_GB2312" w:eastAsia="楷体_GB2312" w:cs="楷体_GB2312"/>
          <w:b w:val="0"/>
          <w:bCs/>
          <w:sz w:val="32"/>
          <w:szCs w:val="32"/>
          <w:lang w:val="en-US" w:eastAsia="zh-Hans"/>
        </w:rPr>
        <w:t>一</w:t>
      </w:r>
      <w:r>
        <w:rPr>
          <w:rFonts w:hint="eastAsia" w:ascii="楷体_GB2312" w:hAnsi="楷体_GB2312" w:eastAsia="楷体_GB2312" w:cs="楷体_GB2312"/>
          <w:b w:val="0"/>
          <w:bCs/>
          <w:sz w:val="32"/>
          <w:szCs w:val="32"/>
          <w:lang w:eastAsia="zh-Hans"/>
        </w:rPr>
        <w:t>）</w:t>
      </w:r>
      <w:r>
        <w:rPr>
          <w:rFonts w:hint="eastAsia" w:ascii="楷体_GB2312" w:hAnsi="楷体_GB2312" w:eastAsia="楷体_GB2312" w:cs="楷体_GB2312"/>
          <w:b w:val="0"/>
          <w:bCs/>
          <w:sz w:val="32"/>
          <w:szCs w:val="32"/>
          <w:lang w:val="en-US" w:eastAsia="zh-Hans"/>
        </w:rPr>
        <w:t>习近平法治思想学习的深度还不够</w:t>
      </w:r>
      <w:r>
        <w:rPr>
          <w:rFonts w:hint="eastAsia" w:ascii="仿宋" w:hAnsi="仿宋" w:eastAsia="仿宋" w:cs="仿宋"/>
          <w:sz w:val="32"/>
          <w:szCs w:val="32"/>
          <w:lang w:val="en-US"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025</w:t>
      </w:r>
      <w:r>
        <w:rPr>
          <w:rFonts w:hint="eastAsia" w:ascii="仿宋_GB2312" w:hAnsi="仿宋_GB2312" w:eastAsia="仿宋_GB2312" w:cs="仿宋_GB2312"/>
          <w:sz w:val="32"/>
          <w:szCs w:val="32"/>
          <w:lang w:val="en-US" w:eastAsia="zh-Hans"/>
        </w:rPr>
        <w:t>年以来，虽然多次组织开展习近平法治思想的学习和贯彻，但是绝大多数同志只限于浅层面的学习，没有深刻领悟到习近平法治思想的更深层次的精索和含义</w:t>
      </w:r>
      <w:r>
        <w:rPr>
          <w:rFonts w:hint="eastAsia" w:ascii="仿宋_GB2312" w:hAnsi="仿宋_GB2312" w:eastAsia="仿宋_GB2312" w:cs="仿宋_GB2312"/>
          <w:sz w:val="32"/>
          <w:szCs w:val="32"/>
          <w:lang w:val="en-US" w:eastAsia="zh-CN"/>
        </w:rPr>
        <w:t>。</w:t>
      </w:r>
    </w:p>
    <w:p w14:paraId="042F453A">
      <w:pPr>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sz w:val="32"/>
          <w:szCs w:val="32"/>
          <w:lang w:val="en-US" w:eastAsia="zh-CN"/>
        </w:rPr>
        <w:t>（二）乡镇综合行政执法工作效果不理想。</w:t>
      </w:r>
      <w:r>
        <w:rPr>
          <w:rFonts w:hint="eastAsia" w:ascii="仿宋_GB2312" w:hAnsi="仿宋_GB2312" w:eastAsia="仿宋_GB2312" w:cs="仿宋_GB2312"/>
          <w:sz w:val="32"/>
          <w:szCs w:val="32"/>
          <w:lang w:val="en-US" w:eastAsia="zh-CN"/>
        </w:rPr>
        <w:t>乡镇（街道）开展综合行政执法改革后，新履行的职能明显增多，基层执法人员力量薄弱、业务水平不专业、行政执法装备不足，导致行政执法工作开展效果不明显。</w:t>
      </w:r>
    </w:p>
    <w:p w14:paraId="4CD6FDF7">
      <w:pPr>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sz w:val="32"/>
          <w:szCs w:val="32"/>
          <w:lang w:val="en-US" w:eastAsia="zh-CN"/>
        </w:rPr>
        <w:t>（三）执法人员的素质参差不齐。</w:t>
      </w:r>
      <w:bookmarkStart w:id="0" w:name="_GoBack"/>
      <w:r>
        <w:rPr>
          <w:rFonts w:hint="eastAsia" w:ascii="仿宋_GB2312" w:hAnsi="仿宋_GB2312" w:eastAsia="仿宋_GB2312" w:cs="仿宋_GB2312"/>
          <w:sz w:val="32"/>
          <w:szCs w:val="32"/>
          <w:lang w:val="en-US" w:eastAsia="zh-CN"/>
        </w:rPr>
        <w:t>行政执法是一项专业性非常强的工作，需要法律知识和相关行业专业知识兼备，对综合执法部门的执法人员要求会更高，因此，执法人员的业务能力亟待提升。</w:t>
      </w:r>
    </w:p>
    <w:bookmarkEnd w:id="0"/>
    <w:p w14:paraId="267576C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三、2025年党政主要负责人履行推进法治建设第一责任人职责，加强法治政府建设的有关情况</w:t>
      </w:r>
    </w:p>
    <w:p w14:paraId="063677F8">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认真开展习近平法治思想学习和培训。</w:t>
      </w:r>
    </w:p>
    <w:p w14:paraId="64F01E09">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县委理论学习中心组专题学习习近平法治思想1次，全县各级党委（党组）理论学习中心组同步推进相关学习。</w:t>
      </w:r>
    </w:p>
    <w:p w14:paraId="4ACF7E51">
      <w:pPr>
        <w:keepNext w:val="0"/>
        <w:keepLines w:val="0"/>
        <w:pageBreakBefore w:val="0"/>
        <w:kinsoku/>
        <w:wordWrap/>
        <w:overflowPunct/>
        <w:topLinePunct w:val="0"/>
        <w:autoSpaceDE/>
        <w:bidi w:val="0"/>
        <w:adjustRightInd/>
        <w:snapToGrid/>
        <w:spacing w:line="560" w:lineRule="exact"/>
        <w:ind w:right="0" w:rightChars="0" w:firstLine="643"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w:t>
      </w:r>
      <w:r>
        <w:rPr>
          <w:rFonts w:hint="default" w:ascii="仿宋_GB2312" w:hAnsi="仿宋_GB2312" w:eastAsia="仿宋_GB2312" w:cs="仿宋_GB2312"/>
          <w:sz w:val="32"/>
          <w:szCs w:val="32"/>
          <w:lang w:val="en-US" w:eastAsia="zh-CN"/>
        </w:rPr>
        <w:t>全面加强党对</w:t>
      </w:r>
      <w:r>
        <w:rPr>
          <w:rFonts w:hint="eastAsia" w:ascii="仿宋_GB2312" w:hAnsi="仿宋_GB2312" w:eastAsia="仿宋_GB2312" w:cs="仿宋_GB2312"/>
          <w:sz w:val="32"/>
          <w:szCs w:val="32"/>
          <w:lang w:val="en-US" w:eastAsia="zh-CN"/>
        </w:rPr>
        <w:t>法治政府建设</w:t>
      </w:r>
      <w:r>
        <w:rPr>
          <w:rFonts w:hint="default" w:ascii="仿宋_GB2312" w:hAnsi="仿宋_GB2312" w:eastAsia="仿宋_GB2312" w:cs="仿宋_GB2312"/>
          <w:sz w:val="32"/>
          <w:szCs w:val="32"/>
          <w:lang w:val="en-US" w:eastAsia="zh-CN"/>
        </w:rPr>
        <w:t>工作的领导</w:t>
      </w:r>
      <w:r>
        <w:rPr>
          <w:rFonts w:hint="eastAsia" w:ascii="仿宋_GB2312" w:hAnsi="仿宋_GB2312" w:eastAsia="仿宋_GB2312" w:cs="仿宋_GB2312"/>
          <w:sz w:val="32"/>
          <w:szCs w:val="32"/>
          <w:lang w:val="en-US" w:eastAsia="zh-CN"/>
        </w:rPr>
        <w:t>。</w:t>
      </w:r>
    </w:p>
    <w:p w14:paraId="0B1D4D2A">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委书记主持召开八届县委全面依法治县委员会第六次全体会议暨述法评议会，评议述法成果，开展民主测评。传达学习全面依法治省、全面依法治市委员会会议精神。审议2025年工作要点，听取《关于规范涉企行政执法和整治“6种执法行为”阶段性工作推进情况的汇报》。从全局角度出发，部署安排法治政府建设相关重点工作。</w:t>
      </w:r>
    </w:p>
    <w:p w14:paraId="53B4F2A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四、2026年推进法治政府建设的主要安排</w:t>
      </w:r>
    </w:p>
    <w:p w14:paraId="7FF46110">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（一）提高政治站位，压紧压实法治建设责任。</w:t>
      </w:r>
    </w:p>
    <w:p w14:paraId="7868A3FC">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w:t>
      </w:r>
      <w:r>
        <w:rPr>
          <w:rFonts w:hint="eastAsia" w:ascii="仿宋_GB2312" w:hAnsi="仿宋_GB2312" w:eastAsia="仿宋_GB2312" w:cs="仿宋_GB2312"/>
          <w:sz w:val="32"/>
          <w:szCs w:val="32"/>
          <w:lang w:val="en-US" w:eastAsia="zh-Hans"/>
        </w:rPr>
        <w:t>学习和贯彻习近平法治思想</w:t>
      </w:r>
      <w:r>
        <w:rPr>
          <w:rFonts w:hint="eastAsia" w:ascii="仿宋_GB2312" w:hAnsi="仿宋_GB2312" w:eastAsia="仿宋_GB2312" w:cs="仿宋_GB2312"/>
          <w:sz w:val="32"/>
          <w:szCs w:val="32"/>
          <w:lang w:val="en-US" w:eastAsia="zh-CN"/>
        </w:rPr>
        <w:t>，坚持将法治政府建设作为重大政治任务，细化职责分工，强化部门协同，凝聚工作合力，高标准、高质量推进各项任务落实。</w:t>
      </w:r>
    </w:p>
    <w:p w14:paraId="5EA5ECAD">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（二）聚焦能力提升与监督约束，持续规范行政执法行为。</w:t>
      </w:r>
    </w:p>
    <w:p w14:paraId="0AE6E8C0">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健全执法人员常态化培训机制，加强综合法律知识与专业法律知识学习，切实提升执法能力。强化执法资格与证件管理监督，严格落实行政执法全过程记录制度，推动全过程留痕、可回溯管理，不断完善执法程序、创新执法方式、加强执法监督，促进严格规范公正文明执法。</w:t>
      </w:r>
    </w:p>
    <w:p w14:paraId="13600ADF">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（三）深化普法宣传教育，扎实推进“八五”普法规划落实。</w:t>
      </w:r>
    </w:p>
    <w:p w14:paraId="412CA7CD">
      <w:pPr>
        <w:keepNext w:val="0"/>
        <w:keepLines w:val="0"/>
        <w:pageBreakBefore w:val="0"/>
        <w:kinsoku/>
        <w:wordWrap/>
        <w:overflowPunct/>
        <w:topLinePunct w:val="0"/>
        <w:autoSpaceDE/>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压实“谁执法谁普法”责任，丰富宣传载体与形式。依托公共法律服务平台，针对不同群体开展精准普法，着力解决人民群众反映强烈的突出问题。加强法治文化阵地建设，突出宪法宣传重点，将法治精神、思想引领与普法教育融入公园等公共场所，实现文化性、娱乐性、知识性与教育性相统一，增强法治文化的渗透力和影响力。</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1D3F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C1732">
                          <w:pPr>
                            <w:pStyle w:val="5"/>
                            <w:rPr>
                              <w:rFonts w:hint="eastAsia" w:ascii="宋体" w:hAnsi="宋体" w:eastAsia="宋体" w:cs="宋体"/>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DC1732">
                    <w:pPr>
                      <w:pStyle w:val="5"/>
                      <w:rPr>
                        <w:rFonts w:hint="eastAsia" w:ascii="宋体" w:hAnsi="宋体" w:eastAsia="宋体" w:cs="宋体"/>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5F76E6"/>
    <w:rsid w:val="0D261D69"/>
    <w:rsid w:val="135F76E6"/>
    <w:rsid w:val="18E055E9"/>
    <w:rsid w:val="3BCD260B"/>
    <w:rsid w:val="3D227243"/>
    <w:rsid w:val="43D921EF"/>
    <w:rsid w:val="4E4D7479"/>
    <w:rsid w:val="58D0798C"/>
    <w:rsid w:val="5D466894"/>
    <w:rsid w:val="72E9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eastAsia="仿宋"/>
      <w:sz w:val="32"/>
    </w:rPr>
  </w:style>
  <w:style w:type="paragraph" w:styleId="3">
    <w:name w:val="Body Text"/>
    <w:basedOn w:val="1"/>
    <w:next w:val="1"/>
    <w:qFormat/>
    <w:uiPriority w:val="0"/>
    <w:rPr>
      <w:rFonts w:ascii="Times New Roman" w:hAnsi="Times New Roman" w:eastAsia="仿宋_GB2312" w:cs="Times New Roman"/>
      <w:sz w:val="32"/>
    </w:rPr>
  </w:style>
  <w:style w:type="paragraph" w:styleId="4">
    <w:name w:val="Body Text Indent"/>
    <w:basedOn w:val="1"/>
    <w:next w:val="3"/>
    <w:qFormat/>
    <w:uiPriority w:val="0"/>
    <w:pPr>
      <w:ind w:firstLine="720" w:firstLineChars="200"/>
    </w:pPr>
    <w:rPr>
      <w:rFonts w:ascii="Calibri" w:hAnsi="Calibri" w:eastAsia="仿宋_GB2312" w:cs="Times New Roman"/>
      <w:sz w:val="36"/>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unhideWhenUsed/>
    <w:qFormat/>
    <w:uiPriority w:val="99"/>
    <w:pPr>
      <w:snapToGrid w:val="0"/>
      <w:jc w:val="left"/>
    </w:pPr>
    <w:rPr>
      <w:sz w:val="18"/>
    </w:rPr>
  </w:style>
  <w:style w:type="paragraph" w:styleId="8">
    <w:name w:val="Body Text 2"/>
    <w:basedOn w:val="1"/>
    <w:unhideWhenUsed/>
    <w:qFormat/>
    <w:uiPriority w:val="99"/>
    <w:pPr>
      <w:spacing w:after="120" w:afterLines="0" w:line="480" w:lineRule="auto"/>
    </w:pPr>
  </w:style>
  <w:style w:type="paragraph" w:styleId="9">
    <w:name w:val="Normal (Web)"/>
    <w:basedOn w:val="1"/>
    <w:qFormat/>
    <w:uiPriority w:val="0"/>
    <w:rPr>
      <w:sz w:val="24"/>
    </w:rPr>
  </w:style>
  <w:style w:type="paragraph" w:styleId="10">
    <w:name w:val="Body Text First Indent"/>
    <w:basedOn w:val="3"/>
    <w:qFormat/>
    <w:uiPriority w:val="0"/>
    <w:pPr>
      <w:spacing w:before="100" w:beforeAutospacing="1" w:line="500" w:lineRule="exact"/>
      <w:ind w:firstLine="420"/>
    </w:pPr>
    <w:rPr>
      <w:rFonts w:ascii="Times New Roman" w:hAnsi="Times New Roman" w:cs="Times New Roman"/>
      <w:sz w:val="28"/>
      <w:szCs w:val="28"/>
    </w:rPr>
  </w:style>
  <w:style w:type="paragraph" w:styleId="11">
    <w:name w:val="Body Text First Indent 2"/>
    <w:basedOn w:val="4"/>
    <w:next w:val="1"/>
    <w:qFormat/>
    <w:uiPriority w:val="0"/>
    <w:pPr>
      <w:ind w:firstLine="420" w:firstLineChars="200"/>
    </w:pPr>
  </w:style>
  <w:style w:type="character" w:styleId="14">
    <w:name w:val="Strong"/>
    <w:basedOn w:val="13"/>
    <w:qFormat/>
    <w:uiPriority w:val="0"/>
    <w:rPr>
      <w:b/>
    </w:rPr>
  </w:style>
  <w:style w:type="paragraph" w:customStyle="1" w:styleId="15">
    <w:name w:val="BodyText2"/>
    <w:basedOn w:val="1"/>
    <w:qFormat/>
    <w:uiPriority w:val="0"/>
    <w:pPr>
      <w:spacing w:after="120" w:line="480" w:lineRule="auto"/>
      <w:jc w:val="both"/>
      <w:textAlignment w:val="baseline"/>
    </w:pPr>
    <w:rPr>
      <w:rFonts w:ascii="仿宋_GB2312" w:hAnsi="仿宋_GB2312" w:eastAsia="仿宋_GB2312" w:cs="Times New Roman"/>
      <w:kern w:val="2"/>
      <w:sz w:val="36"/>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2458</Words>
  <Characters>2530</Characters>
  <Lines>0</Lines>
  <Paragraphs>0</Paragraphs>
  <TotalTime>3</TotalTime>
  <ScaleCrop>false</ScaleCrop>
  <LinksUpToDate>false</LinksUpToDate>
  <CharactersWithSpaces>2530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2025-10-20T08:35:00Z</dcterms:created>
  <dc:creator>Administrator</dc:creator>
  <cp:lastModifiedBy>臻惜，静待风来</cp:lastModifiedBy>
  <cp:lastPrinted>2025-10-28T07:32:00Z</cp:lastPrinted>
  <dcterms:modified xsi:type="dcterms:W3CDTF">2025-12-16T02:57:04Z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8A157145DE7448BDA1C422D3604DD995_13</vt:lpwstr>
  </property>
  <property fmtid="{D5CDD505-2E9C-101B-9397-08002B2CF9AE}" pid="4" name="KSOTemplateDocerSaveRecord">
    <vt:lpwstr>eyJoZGlkIjoiZmNiYzhjOGM1OGQ5MWQ2NTkxMmUyMTVlYThmYWMyZGQiLCJ1c2VySWQiOiIxMTMyODYxNTAxIn0=</vt:lpwstr>
  </property>
</Properties>
</file>