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0E6DF">
      <w:pPr>
        <w:pStyle w:val="8"/>
        <w:bidi w:val="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伊通满族自治县城市管理综合行政执法大队</w:t>
      </w:r>
    </w:p>
    <w:p w14:paraId="2FA267EB">
      <w:pPr>
        <w:pStyle w:val="8"/>
        <w:bidi w:val="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关于2025年度法治政府建设情况的报告</w:t>
      </w:r>
    </w:p>
    <w:p w14:paraId="54F884C0">
      <w:pPr>
        <w:pStyle w:val="8"/>
        <w:bidi w:val="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391CA49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县委、县政府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17D4ACE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县城市管理综合行政执法大队关于法治政府建设</w:t>
      </w:r>
      <w:r>
        <w:rPr>
          <w:rFonts w:hint="eastAsia" w:ascii="仿宋" w:hAnsi="仿宋" w:eastAsia="仿宋" w:cs="仿宋"/>
          <w:sz w:val="32"/>
          <w:szCs w:val="32"/>
        </w:rPr>
        <w:t>现将有关情况报告如下：</w:t>
      </w:r>
    </w:p>
    <w:p w14:paraId="082356D9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一、2025 年法治政府建设基本情况</w:t>
      </w:r>
    </w:p>
    <w:p w14:paraId="5D3AD12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 年以来，我大队围绕 “法治城管、服务为民” 目标，以制度完善为基础、执法规范为核心、群众满意为导向，持续深化法治政府建设，各项工作取得阶段性成效。</w:t>
      </w:r>
    </w:p>
    <w:p w14:paraId="2E9BCE2B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（一）市容秩序执法规范化水平显著提升</w:t>
      </w:r>
    </w:p>
    <w:p w14:paraId="147FF24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违法违规行为精准治理：对主次干道占道经营、店外作业、物料乱堆等问题实施长效监管，遏制 “马路市场” 反弹；联合消防、应急、公安、市监等部门开展户外广告及牌匾安全隐患排查整治，确保商户消防安全；严格落实 “门前三包” 制度，与沿街 1200 余户商户签订《门前三包责任书》，明确污水排放、垃圾处置等规范要求。</w:t>
      </w:r>
    </w:p>
    <w:p w14:paraId="2B45661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污染与安全执法落地：全面排查 520 余家餐饮商户油烟净化设施，确保营业期间正常运行；压实安全生产责任，与各部门、基层单位签订安全责任书 19 份，开展环卫设施、施工围挡、流动摊贩燃气安全等检查 128 处，整改 56 处，整改率 100%；推行 “721” 工作法（七分服务、二分管理、一分执法），以柔性劝导替代刚性处罚，转变群众对城管执法的刻板印象。</w:t>
      </w:r>
    </w:p>
    <w:p w14:paraId="17B5DC2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市容细节法治管控：每日安排 400 余名环卫工人清理路边 “野广告”，在小区出入口设置 120 余块广告宣传栏，既规范广告发布又满足群众合理需求；拆除亿通国际物流园、华悦盛世小区等违规围挡 3000 余平方米，清理杂物及建筑垃圾 2.5 万余立方米，释放公共空间。</w:t>
      </w:r>
    </w:p>
    <w:p w14:paraId="5A8CAB92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（三）环境卫生与重点项目法治管理扎实开展</w:t>
      </w:r>
    </w:p>
    <w:p w14:paraId="6CA2FA6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环卫工作制度化运行：构建 “机械清扫为主、人工为辅” 的作业体系，实行 “扫、清、洗、洁” 四步工作法及 “定点、定人、定岗、定时” 四定制度，累计清运垃圾 10391.42 吨，焚烧处理率 100%；规范 8 座垃圾转运站、25 座公厕管理，实现全年零安全事故；新增高压清洗车、大型清扫车等设备，现有 35 台环卫车辆覆盖 21 条道路机械化清扫。</w:t>
      </w:r>
    </w:p>
    <w:p w14:paraId="0889AD9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征收工作依法推进：完成乌苏大街南及房管所综合楼地块《合法性审查报告》，为征收奠定法治基础；对一中南地块 5 户被征收人采取 “一户一策”，通过政策解读、案例分析达成协议，已发放征收款并完成房屋拆除；分批次发放征收补偿款、面积差价款及过渡期安置费约 797.1 万元，减少信访隐患。</w:t>
      </w:r>
    </w:p>
    <w:p w14:paraId="12A6846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便民服务法治保障：在滨河路、满洲大街设立 2 处早市，在运动场周边等区域设置 5 个夜市，规范商户经营时间与范围；在人行步道施划停车位 153 个（计划 1100 个）。</w:t>
      </w:r>
    </w:p>
    <w:p w14:paraId="27D20646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（四）执法权衔接与法治基础持续夯实</w:t>
      </w:r>
    </w:p>
    <w:p w14:paraId="4CC3A113">
      <w:pPr>
        <w:ind w:firstLine="64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2025 年 6 月 20 日，县政府召开专题会议，明确我大队在 “局队合一” 框架下开展执法工作，目前正与住建局、编办、政数局对接执法权力清单，预计 12 月末可正式开展执法，解决此前事业单位无执法权的历史问题。</w:t>
      </w:r>
    </w:p>
    <w:p w14:paraId="020A6A7B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二、存在的问题和不足</w:t>
      </w:r>
    </w:p>
    <w:p w14:paraId="659A325B">
      <w:pPr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（一）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存在不的不足</w:t>
      </w:r>
    </w:p>
    <w:p w14:paraId="08A890D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执法覆盖与规范化存在短板：城市管理网格化制度不完善，背街小巷占道经营、深夜烧烤噪音扰民等问题存在监管盲区；重点区域市容秩序易反弹，联合执法进小区的沟通协作机制未完全落地，执法力度与频次不足。</w:t>
      </w:r>
    </w:p>
    <w:p w14:paraId="3E386D9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执法队伍能力与法治要求不匹配：部分执法人员（尤其是转业兵群体）业务素质、法律条文运用能力薄弱，缺乏系统性专业培训；综合执法能力与城市发展需求存在差距，难以应对物业纠纷、征收矛盾等复杂场景。</w:t>
      </w:r>
    </w:p>
    <w:p w14:paraId="51562A0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群众法治参与意识薄弱：居民对城市管理的参与度低，遵纪守法意识、卫生习惯尚未养成，对城管执法工作的理解与支持不足，增加执法阻力。</w:t>
      </w:r>
    </w:p>
    <w:p w14:paraId="409DDA69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（二）造成不足的原因</w:t>
      </w:r>
    </w:p>
    <w:p w14:paraId="2F6C062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执法机制建设不健全：网格化管理细则未细化，联合执法的部门权责划分不清晰，导致监管盲区与协作低效；“三项制度”（行政执法公示、全过程记录、重大决定法制审核）在基层执行中存在疏漏。</w:t>
      </w:r>
    </w:p>
    <w:p w14:paraId="2841CD0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能力建设投入不足：常态化执法培训机制未落实，培训内容与实际执法需求脱节，未能针对性提升转业兵等群体的法律素养与实操能力。</w:t>
      </w:r>
    </w:p>
    <w:p w14:paraId="62D5B3A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普法宣传工作不到位：普法形式单一、覆盖面窄，未能通过群众喜闻乐见的方式普及城市管理法规，导致居民法治意识与参与意愿不足。</w:t>
      </w:r>
    </w:p>
    <w:p w14:paraId="31FACAC4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三、党政主要负责人履行推进法治建设第一责任人职责</w:t>
      </w:r>
    </w:p>
    <w:p w14:paraId="445EFEF1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（一）带头强化法治理论学习</w:t>
      </w:r>
    </w:p>
    <w:p w14:paraId="41379C5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组织党组集中学习 4 次，专题学习习近平总书记全面依法治国新理念新思想新战略；开展线上法制学习、执法证学习考试各 1 次，节前廉政谈话 1 次、警示教育 2 次，推动班子成员及全体执法人员准确把握法治建设要求。</w:t>
      </w:r>
    </w:p>
    <w:p w14:paraId="1907AE4E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二</w:t>
      </w:r>
      <w:r>
        <w:rPr>
          <w:rFonts w:hint="eastAsia" w:ascii="楷体" w:hAnsi="楷体" w:eastAsia="楷体" w:cs="楷体"/>
          <w:sz w:val="32"/>
          <w:szCs w:val="32"/>
        </w:rPr>
        <w:t>）严格规范执法与决策程序</w:t>
      </w:r>
    </w:p>
    <w:p w14:paraId="4331086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所有征收项目（如一中南地块、乌苏大街南地块）必须完成合法性审查，补偿协议签订、房屋拆除需按程序推进；重大决策（如夜市规划）需经党组会或集体讨论通过；行政处罚案件需经执法人员、分管领导层层审核，确保依法决策、规范执法。</w:t>
      </w:r>
    </w:p>
    <w:p w14:paraId="5C28AB68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sz w:val="32"/>
          <w:szCs w:val="32"/>
        </w:rPr>
        <w:t>）督办法治领域难点问题</w:t>
      </w:r>
    </w:p>
    <w:p w14:paraId="39B07F4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针对安置房逾期、补偿款发放慢等问题，牵头协调投控集团、自然资源局、财政等部门，明确百汇园项目 2026 年底、翰林院项目 2026 年 6 月完成回迁；督促分批次发放征收补偿款，降低信访风险。</w:t>
      </w:r>
    </w:p>
    <w:p w14:paraId="73A5FAFD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四、2025 年度主要工作安排</w:t>
      </w:r>
    </w:p>
    <w:p w14:paraId="4FE120A6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（一）进一步规范行政执法行为</w:t>
      </w:r>
    </w:p>
    <w:p w14:paraId="39E4676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加快 “局队合一” 执法权衔接，12 月底前完成与住建、编办、政数局的执法权力清单对接，确保执法工作合法开展；巩固落实行政执法 “三项制度”，强化执法公示，完善执法音像记录使用与监督管理规范；</w:t>
      </w:r>
    </w:p>
    <w:p w14:paraId="078B225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深化 “721” 工作法，推行 “暖心劝导 + 政策解读” 柔性执法模式，规范执法文书制作与送达，提升执法公信力。</w:t>
      </w:r>
    </w:p>
    <w:p w14:paraId="324C8900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（二）健全执法与治理协同机制</w:t>
      </w:r>
    </w:p>
    <w:p w14:paraId="57BDB96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完善城市管理网格化制度，细化网格权责，填补背街小巷、深夜烧烤等监管盲区，落实早检夜巡常态化；</w:t>
      </w:r>
    </w:p>
    <w:p w14:paraId="7D86BD8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深化 “执法 + 环卫” 联动机制，及时解决环卫工人作业难题，同步排查整治影响市容秩序的违法行为；</w:t>
      </w:r>
    </w:p>
    <w:p w14:paraId="005AA85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加强与公安、应急、消防、住建、市监等部门的联合执法，每季度开展 1 次安全（燃气、消防、汛期）或市容（广告、占道）专项联合行动。</w:t>
      </w:r>
    </w:p>
    <w:p w14:paraId="4CF14B02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（三）强化执法队伍能力建设</w:t>
      </w:r>
    </w:p>
    <w:p w14:paraId="4F3CB2E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建立常态化培训制度，每季度开展 1 次执法业务培训，内容涵盖法律条文运用、执法程序、征收政策等，重点提升转业兵执法人员专业能力；</w:t>
      </w:r>
    </w:p>
    <w:p w14:paraId="1EC5EB57">
      <w:pPr>
        <w:rPr>
          <w:rFonts w:hint="eastAsia" w:ascii="仿宋" w:hAnsi="仿宋" w:eastAsia="仿宋" w:cs="仿宋"/>
          <w:sz w:val="32"/>
          <w:szCs w:val="32"/>
        </w:rPr>
      </w:pPr>
    </w:p>
    <w:p w14:paraId="79FA7658"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0C1138E"/>
    <w:rsid w:val="19995F9A"/>
    <w:rsid w:val="1BD9532E"/>
    <w:rsid w:val="266A3C7B"/>
    <w:rsid w:val="2B242D41"/>
    <w:rsid w:val="31ED68CE"/>
    <w:rsid w:val="5CD9094D"/>
    <w:rsid w:val="66F54D7C"/>
    <w:rsid w:val="6B8C076C"/>
    <w:rsid w:val="7BED35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2383</Words>
  <Characters>2462</Characters>
  <TotalTime>44</TotalTime>
  <ScaleCrop>false</ScaleCrop>
  <LinksUpToDate>false</LinksUpToDate>
  <CharactersWithSpaces>2581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2025-10-13T02:28:00Z</dcterms:created>
  <dc:creator>Un-named</dc:creator>
  <cp:lastModifiedBy>A  . 赱赱檤，銩ㄋ</cp:lastModifiedBy>
  <cp:lastPrinted>2025-10-20T03:08:00Z</cp:lastPrinted>
  <dcterms:modified xsi:type="dcterms:W3CDTF">2025-10-22T08:11:45Z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eyJoZGlkIjoiZmNiYzhjOGM1OGQ5MWQ2NTkxMmUyMTVlYThmYWMyZGQiLCJ1c2VySWQiOiIyMzg2NjM5ODMifQ==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2D253B20728E44F8BF73969F22D1B100_13</vt:lpwstr>
  </property>
</Properties>
</file>