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841119">
      <w:pPr>
        <w:jc w:val="center"/>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政数局关于2025年度</w:t>
      </w:r>
    </w:p>
    <w:p w14:paraId="4A1AA38E">
      <w:pPr>
        <w:jc w:val="center"/>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法治政府建设情况的报告</w:t>
      </w:r>
    </w:p>
    <w:p w14:paraId="753F5040">
      <w:pPr>
        <w:jc w:val="left"/>
        <w:rPr>
          <w:rFonts w:hint="eastAsia" w:ascii="仿宋" w:hAnsi="仿宋" w:eastAsia="仿宋" w:cs="仿宋"/>
          <w:b w:val="0"/>
          <w:bCs w:val="0"/>
          <w:sz w:val="32"/>
          <w:szCs w:val="32"/>
          <w:lang w:val="en-US" w:eastAsia="zh-CN"/>
        </w:rPr>
      </w:pPr>
    </w:p>
    <w:p w14:paraId="6042FA64">
      <w:pPr>
        <w:jc w:val="left"/>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县委、县政府：</w:t>
      </w:r>
    </w:p>
    <w:p w14:paraId="63B312DC">
      <w:pPr>
        <w:ind w:firstLine="640" w:firstLineChars="200"/>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 xml:space="preserve">  2025年，</w:t>
      </w:r>
      <w:r>
        <w:rPr>
          <w:rFonts w:hint="eastAsia" w:ascii="仿宋" w:hAnsi="仿宋" w:eastAsia="仿宋" w:cs="仿宋"/>
          <w:color w:val="000000" w:themeColor="text1"/>
          <w:sz w:val="32"/>
          <w:szCs w:val="32"/>
          <w:lang w:val="en-US" w:eastAsia="zh-CN"/>
          <w14:textFill>
            <w14:solidFill>
              <w14:schemeClr w14:val="tx1"/>
            </w14:solidFill>
          </w14:textFill>
        </w:rPr>
        <w:t>县政数局</w:t>
      </w:r>
      <w:r>
        <w:rPr>
          <w:rFonts w:hint="eastAsia" w:ascii="仿宋" w:hAnsi="仿宋" w:eastAsia="仿宋" w:cs="仿宋"/>
          <w:color w:val="000000" w:themeColor="text1"/>
          <w:sz w:val="32"/>
          <w:szCs w:val="32"/>
          <w:lang w:eastAsia="zh-CN"/>
          <w14:textFill>
            <w14:solidFill>
              <w14:schemeClr w14:val="tx1"/>
            </w14:solidFill>
          </w14:textFill>
        </w:rPr>
        <w:t>按照</w:t>
      </w:r>
      <w:r>
        <w:rPr>
          <w:rFonts w:hint="eastAsia" w:ascii="仿宋" w:hAnsi="仿宋" w:eastAsia="仿宋" w:cs="仿宋"/>
          <w:color w:val="000000" w:themeColor="text1"/>
          <w:sz w:val="32"/>
          <w:szCs w:val="32"/>
          <w14:textFill>
            <w14:solidFill>
              <w14:schemeClr w14:val="tx1"/>
            </w14:solidFill>
          </w14:textFill>
        </w:rPr>
        <w:t>法治政府建设创建要求</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紧紧围绕省、市、县法治政府建设各项部署，多措并举，狠抓落实，推进法治政府建设工作有序开展，</w:t>
      </w:r>
      <w:r>
        <w:rPr>
          <w:rFonts w:hint="eastAsia" w:ascii="仿宋" w:hAnsi="仿宋" w:eastAsia="仿宋" w:cs="仿宋"/>
          <w:sz w:val="32"/>
          <w:szCs w:val="32"/>
          <w:lang w:val="en-US" w:eastAsia="zh-CN"/>
        </w:rPr>
        <w:t>持续优化政务服务，创新服务方式，提高行政效能，进一步优化营商环境。现将有关情况报告如下：</w:t>
      </w:r>
    </w:p>
    <w:p w14:paraId="550FE01A">
      <w:pPr>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一、2025年法治政府建设基本情况</w:t>
      </w:r>
    </w:p>
    <w:p w14:paraId="65F09E56">
      <w:pPr>
        <w:keepNext w:val="0"/>
        <w:keepLines w:val="0"/>
        <w:pageBreakBefore w:val="0"/>
        <w:widowControl w:val="0"/>
        <w:numPr>
          <w:ilvl w:val="0"/>
          <w:numId w:val="0"/>
        </w:numPr>
        <w:kinsoku/>
        <w:wordWrap/>
        <w:overflowPunct/>
        <w:topLinePunct w:val="0"/>
        <w:autoSpaceDE/>
        <w:autoSpaceDN/>
        <w:bidi w:val="0"/>
        <w:adjustRightInd/>
        <w:snapToGrid/>
        <w:ind w:firstLine="320" w:firstLineChars="100"/>
        <w:jc w:val="both"/>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（一）政务服务水平不断提升</w:t>
      </w:r>
    </w:p>
    <w:p w14:paraId="7E0F6FFA">
      <w:pPr>
        <w:numPr>
          <w:ilvl w:val="0"/>
          <w:numId w:val="0"/>
        </w:numPr>
        <w:ind w:left="630" w:leftChars="0"/>
        <w:jc w:val="both"/>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1.“只进一门”取得阶段性成果</w:t>
      </w:r>
    </w:p>
    <w:p w14:paraId="4CCCFD34">
      <w:pPr>
        <w:numPr>
          <w:ilvl w:val="0"/>
          <w:numId w:val="0"/>
        </w:numPr>
        <w:ind w:firstLine="640"/>
        <w:jc w:val="both"/>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全力推进“应进必进”“进一扇门，办多项事”等各项工作，我县36个政务服务部门全部完成进驻，进厅率达100%；本级政务服务事项1777项，进厅1737项，进厅比例97.7%；无差别事项1328项，占政务服务事项的74.7%。</w:t>
      </w:r>
    </w:p>
    <w:p w14:paraId="6A2CB8E7">
      <w:pPr>
        <w:numPr>
          <w:ilvl w:val="0"/>
          <w:numId w:val="0"/>
        </w:numPr>
        <w:ind w:left="630" w:leftChars="0"/>
        <w:jc w:val="both"/>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2.“一网通办”能力持续提升</w:t>
      </w:r>
    </w:p>
    <w:p w14:paraId="19FFE35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县直单位46家，17个乡镇（街道）和197个村（社区）已实现政务外网全覆盖，为政务服务一网通办提供了坚实的基础。本县政务服务事项总计2604项，全程网办事项数2339项，网办率76.8%，</w:t>
      </w:r>
      <w:r>
        <w:rPr>
          <w:rFonts w:hint="eastAsia" w:ascii="仿宋" w:hAnsi="仿宋" w:eastAsia="仿宋" w:cs="仿宋"/>
          <w:i w:val="0"/>
          <w:iCs w:val="0"/>
          <w:caps w:val="0"/>
          <w:color w:val="000000"/>
          <w:spacing w:val="0"/>
          <w:sz w:val="32"/>
          <w:szCs w:val="32"/>
          <w:lang w:val="en-US" w:eastAsia="zh-CN"/>
        </w:rPr>
        <w:t>政务服务中心</w:t>
      </w:r>
      <w:r>
        <w:rPr>
          <w:rFonts w:hint="eastAsia" w:ascii="仿宋" w:hAnsi="仿宋" w:eastAsia="仿宋" w:cs="仿宋"/>
          <w:i w:val="0"/>
          <w:iCs w:val="0"/>
          <w:caps w:val="0"/>
          <w:color w:val="000000"/>
          <w:spacing w:val="0"/>
          <w:sz w:val="32"/>
          <w:szCs w:val="32"/>
        </w:rPr>
        <w:t>设立了</w:t>
      </w:r>
      <w:r>
        <w:rPr>
          <w:rFonts w:hint="eastAsia" w:ascii="仿宋" w:hAnsi="仿宋" w:eastAsia="仿宋" w:cs="仿宋"/>
          <w:i w:val="0"/>
          <w:iCs w:val="0"/>
          <w:caps w:val="0"/>
          <w:color w:val="000000"/>
          <w:spacing w:val="0"/>
          <w:sz w:val="32"/>
          <w:szCs w:val="32"/>
          <w:lang w:val="en-US" w:eastAsia="zh-CN"/>
        </w:rPr>
        <w:t>网办专区</w:t>
      </w:r>
      <w:r>
        <w:rPr>
          <w:rFonts w:hint="eastAsia" w:ascii="仿宋" w:hAnsi="仿宋" w:eastAsia="仿宋" w:cs="仿宋"/>
          <w:i w:val="0"/>
          <w:iCs w:val="0"/>
          <w:caps w:val="0"/>
          <w:color w:val="000000"/>
          <w:spacing w:val="0"/>
          <w:sz w:val="32"/>
          <w:szCs w:val="32"/>
        </w:rPr>
        <w:t>，</w:t>
      </w:r>
      <w:r>
        <w:rPr>
          <w:rFonts w:hint="eastAsia" w:ascii="仿宋" w:hAnsi="仿宋" w:eastAsia="仿宋" w:cs="仿宋"/>
          <w:i w:val="0"/>
          <w:iCs w:val="0"/>
          <w:caps w:val="0"/>
          <w:color w:val="000000"/>
          <w:spacing w:val="0"/>
          <w:sz w:val="32"/>
          <w:szCs w:val="32"/>
          <w:lang w:val="en-US" w:eastAsia="zh-CN"/>
        </w:rPr>
        <w:t>专人负责指导，办理业务</w:t>
      </w:r>
      <w:r>
        <w:rPr>
          <w:rFonts w:hint="eastAsia" w:ascii="仿宋" w:hAnsi="仿宋" w:eastAsia="仿宋" w:cs="仿宋"/>
          <w:i w:val="0"/>
          <w:iCs w:val="0"/>
          <w:caps w:val="0"/>
          <w:color w:val="000000"/>
          <w:spacing w:val="0"/>
          <w:sz w:val="32"/>
          <w:szCs w:val="32"/>
        </w:rPr>
        <w:t>登陆网页就能办</w:t>
      </w:r>
      <w:r>
        <w:rPr>
          <w:rFonts w:hint="eastAsia" w:ascii="仿宋" w:hAnsi="仿宋" w:eastAsia="仿宋" w:cs="仿宋"/>
          <w:i w:val="0"/>
          <w:iCs w:val="0"/>
          <w:caps w:val="0"/>
          <w:color w:val="000000"/>
          <w:spacing w:val="0"/>
          <w:sz w:val="32"/>
          <w:szCs w:val="32"/>
          <w:lang w:eastAsia="zh-CN"/>
        </w:rPr>
        <w:t>，</w:t>
      </w:r>
      <w:r>
        <w:rPr>
          <w:rFonts w:hint="eastAsia" w:ascii="仿宋" w:hAnsi="仿宋" w:eastAsia="仿宋" w:cs="仿宋"/>
          <w:i w:val="0"/>
          <w:iCs w:val="0"/>
          <w:caps w:val="0"/>
          <w:color w:val="000000"/>
          <w:spacing w:val="0"/>
          <w:sz w:val="32"/>
          <w:szCs w:val="32"/>
          <w:lang w:val="en-US" w:eastAsia="zh-CN"/>
        </w:rPr>
        <w:t>真正让群众在网络上办的通，办的好，办的快。</w:t>
      </w:r>
    </w:p>
    <w:p w14:paraId="4879F1BB">
      <w:pPr>
        <w:numPr>
          <w:ilvl w:val="0"/>
          <w:numId w:val="0"/>
        </w:numPr>
        <w:ind w:left="630" w:leftChars="0"/>
        <w:jc w:val="both"/>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3.更多政务服务事项向基层延伸</w:t>
      </w:r>
    </w:p>
    <w:p w14:paraId="2C7D119B">
      <w:pPr>
        <w:ind w:firstLine="640" w:firstLineChars="200"/>
        <w:rPr>
          <w:rFonts w:hint="eastAsia" w:ascii="仿宋" w:hAnsi="仿宋" w:eastAsia="仿宋" w:cs="仿宋"/>
          <w:color w:val="auto"/>
          <w:sz w:val="32"/>
          <w:szCs w:val="32"/>
          <w:lang w:val="en-US"/>
        </w:rPr>
      </w:pPr>
      <w:r>
        <w:rPr>
          <w:rFonts w:hint="eastAsia" w:ascii="仿宋" w:hAnsi="仿宋" w:eastAsia="仿宋" w:cs="仿宋"/>
          <w:b w:val="0"/>
          <w:bCs w:val="0"/>
          <w:sz w:val="32"/>
          <w:szCs w:val="32"/>
          <w:lang w:val="en-US" w:eastAsia="zh-CN"/>
        </w:rPr>
        <w:t>梳理县本级可新增延伸事项，利用全流程审批系统，</w:t>
      </w:r>
      <w:r>
        <w:rPr>
          <w:rFonts w:hint="eastAsia" w:ascii="仿宋" w:hAnsi="仿宋" w:eastAsia="仿宋" w:cs="仿宋"/>
          <w:sz w:val="32"/>
          <w:szCs w:val="32"/>
        </w:rPr>
        <w:t>不断拓展基层受理事项的广度和深度，</w:t>
      </w:r>
      <w:r>
        <w:rPr>
          <w:rFonts w:hint="eastAsia" w:ascii="仿宋" w:hAnsi="仿宋" w:eastAsia="仿宋" w:cs="仿宋"/>
          <w:sz w:val="32"/>
          <w:szCs w:val="32"/>
          <w:lang w:val="en-US" w:eastAsia="zh-CN"/>
        </w:rPr>
        <w:t>目前政务服务向基层延伸事项突破200项，</w:t>
      </w:r>
      <w:r>
        <w:rPr>
          <w:rFonts w:hint="eastAsia" w:ascii="仿宋" w:hAnsi="仿宋" w:eastAsia="仿宋" w:cs="仿宋"/>
          <w:sz w:val="32"/>
          <w:szCs w:val="32"/>
        </w:rPr>
        <w:t>提升了企业群众办事便利度</w:t>
      </w:r>
      <w:r>
        <w:rPr>
          <w:rFonts w:hint="eastAsia" w:ascii="仿宋" w:hAnsi="仿宋" w:eastAsia="仿宋" w:cs="仿宋"/>
          <w:b w:val="0"/>
          <w:bCs w:val="0"/>
          <w:sz w:val="32"/>
          <w:szCs w:val="32"/>
          <w:lang w:val="en-US" w:eastAsia="zh-CN"/>
        </w:rPr>
        <w:t>，真正打通便民服务的“最后一公里”。</w:t>
      </w:r>
    </w:p>
    <w:p w14:paraId="3A098E11">
      <w:pPr>
        <w:numPr>
          <w:ilvl w:val="0"/>
          <w:numId w:val="0"/>
        </w:numPr>
        <w:ind w:left="630" w:leftChars="0"/>
        <w:jc w:val="both"/>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4.审批时限再压缩</w:t>
      </w:r>
    </w:p>
    <w:p w14:paraId="56AAD206">
      <w:pPr>
        <w:numPr>
          <w:ilvl w:val="0"/>
          <w:numId w:val="0"/>
        </w:numPr>
        <w:ind w:firstLine="640" w:firstLineChars="200"/>
        <w:rPr>
          <w:rFonts w:hint="eastAsia" w:ascii="仿宋" w:hAnsi="仿宋" w:eastAsia="仿宋" w:cs="仿宋"/>
          <w:i w:val="0"/>
          <w:iCs w:val="0"/>
          <w:caps w:val="0"/>
          <w:color w:val="auto"/>
          <w:spacing w:val="0"/>
          <w:sz w:val="32"/>
          <w:szCs w:val="32"/>
          <w:highlight w:val="none"/>
          <w:lang w:val="en-US" w:eastAsia="zh-CN"/>
        </w:rPr>
      </w:pPr>
      <w:r>
        <w:rPr>
          <w:rFonts w:hint="eastAsia" w:ascii="仿宋" w:hAnsi="仿宋" w:eastAsia="仿宋" w:cs="仿宋"/>
          <w:i w:val="0"/>
          <w:iCs w:val="0"/>
          <w:caps w:val="0"/>
          <w:color w:val="auto"/>
          <w:spacing w:val="0"/>
          <w:sz w:val="32"/>
          <w:szCs w:val="32"/>
          <w:lang w:val="en-US" w:eastAsia="zh-CN"/>
        </w:rPr>
        <w:t>组织各部门对服务事项审批时限进行压缩，并同步修改政务服务事项库。经过梳理压减后，伊通县现有政务服务事</w:t>
      </w:r>
      <w:r>
        <w:rPr>
          <w:rFonts w:hint="eastAsia" w:ascii="仿宋" w:hAnsi="仿宋" w:eastAsia="仿宋" w:cs="仿宋"/>
          <w:i w:val="0"/>
          <w:iCs w:val="0"/>
          <w:caps w:val="0"/>
          <w:color w:val="auto"/>
          <w:spacing w:val="0"/>
          <w:sz w:val="32"/>
          <w:szCs w:val="32"/>
          <w:highlight w:val="none"/>
          <w:lang w:val="en-US" w:eastAsia="zh-CN"/>
        </w:rPr>
        <w:t>项1777项，涉及部门36家，总法定时限40304天，总承诺时限6045天。</w:t>
      </w:r>
    </w:p>
    <w:p w14:paraId="69946729">
      <w:pPr>
        <w:numPr>
          <w:ilvl w:val="0"/>
          <w:numId w:val="0"/>
        </w:numPr>
        <w:ind w:left="630" w:leftChars="0"/>
        <w:jc w:val="both"/>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5.“高效办成一件事”落地见效</w:t>
      </w:r>
    </w:p>
    <w:p w14:paraId="6D4D3A61">
      <w:pPr>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2024年6月至2025年9月，国务院共印发国家级4批高效办成“一件事”共42项，目前省级重点推动前三批33项，我县政数局高度重视，积极调度各牵头部门推进此项工作，</w:t>
      </w:r>
      <w:r>
        <w:rPr>
          <w:rFonts w:hint="eastAsia" w:ascii="仿宋" w:hAnsi="仿宋" w:eastAsia="仿宋"/>
          <w:sz w:val="32"/>
          <w:szCs w:val="32"/>
          <w:lang w:val="en-US" w:eastAsia="zh-CN"/>
        </w:rPr>
        <w:t>并先后召开“高效办成一件事”座谈会、推进会10余次，参与四平市高效办成一件事专项工作推进会议1次</w:t>
      </w:r>
      <w:r>
        <w:rPr>
          <w:rFonts w:hint="eastAsia" w:ascii="仿宋" w:hAnsi="仿宋" w:eastAsia="仿宋" w:cs="仿宋"/>
          <w:sz w:val="32"/>
          <w:szCs w:val="32"/>
          <w:lang w:val="en-US" w:eastAsia="zh-CN"/>
        </w:rPr>
        <w:t>。在政务服务中心设立高效办成“一件事”办理窗口，摆放办理指导宣传手册，并配备专人在窗口受理，提供领办代办服务，全程陪同、指导、引领群众办理。</w:t>
      </w:r>
    </w:p>
    <w:p w14:paraId="35B01C8C">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目前，国家级</w:t>
      </w:r>
      <w:r>
        <w:rPr>
          <w:rFonts w:hint="eastAsia" w:ascii="仿宋" w:hAnsi="仿宋" w:eastAsia="仿宋" w:cs="仿宋"/>
          <w:color w:val="000000" w:themeColor="text1"/>
          <w:sz w:val="32"/>
          <w:szCs w:val="32"/>
          <w:highlight w:val="none"/>
          <w:lang w:val="en-US" w:eastAsia="zh-CN"/>
          <w14:textFill>
            <w14:solidFill>
              <w14:schemeClr w14:val="tx1"/>
            </w14:solidFill>
          </w14:textFill>
        </w:rPr>
        <w:t>33件事中，能达到一件事一次办并走通流程的共27件，已经梳理完成一次性告知单、办理流程、联办申请单并打印成册，在厅内公示；未能打通流程的2件（个人身后、住房公积金个人住房贷款购房），等待省、市系统打通后，部门将逐步跟进落实。另外有4件县级无权限（留学服务、外国人来华工作、科技成果转化、合格境外投资者资格审批与开户）。</w:t>
      </w:r>
    </w:p>
    <w:p w14:paraId="00F28F52">
      <w:pPr>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此项工作属于长期推进工作，紧跟省级、实际工作要求配合上级配置部分事项的线上流程。</w:t>
      </w:r>
    </w:p>
    <w:p w14:paraId="5F666017">
      <w:pPr>
        <w:numPr>
          <w:ilvl w:val="0"/>
          <w:numId w:val="0"/>
        </w:numPr>
        <w:ind w:left="630" w:leftChars="0"/>
        <w:jc w:val="both"/>
        <w:rPr>
          <w:rFonts w:hint="eastAsia" w:ascii="楷体" w:hAnsi="楷体" w:eastAsia="楷体" w:cs="楷体"/>
          <w:b w:val="0"/>
          <w:bCs w:val="0"/>
          <w:sz w:val="32"/>
          <w:szCs w:val="32"/>
          <w:lang w:val="en-US" w:eastAsia="zh-CN"/>
        </w:rPr>
      </w:pPr>
      <w:r>
        <w:rPr>
          <w:rFonts w:hint="eastAsia" w:ascii="楷体" w:hAnsi="楷体" w:eastAsia="楷体" w:cs="楷体"/>
          <w:b w:val="0"/>
          <w:bCs w:val="0"/>
          <w:sz w:val="32"/>
          <w:szCs w:val="32"/>
          <w:lang w:val="en-US" w:eastAsia="zh-CN"/>
        </w:rPr>
        <w:t>（二）营商环境不断优化</w:t>
      </w:r>
    </w:p>
    <w:p w14:paraId="6734F756">
      <w:pPr>
        <w:numPr>
          <w:ilvl w:val="0"/>
          <w:numId w:val="0"/>
        </w:numPr>
        <w:ind w:firstLine="643" w:firstLineChars="200"/>
        <w:jc w:val="both"/>
        <w:rPr>
          <w:rFonts w:hint="eastAsia" w:ascii="仿宋" w:hAnsi="仿宋" w:eastAsia="仿宋" w:cs="仿宋"/>
          <w:b/>
          <w:bCs/>
          <w:color w:val="000000" w:themeColor="text1"/>
          <w:sz w:val="32"/>
          <w:szCs w:val="32"/>
          <w:lang w:val="en-US" w:eastAsia="zh-CN"/>
          <w14:textFill>
            <w14:solidFill>
              <w14:schemeClr w14:val="tx1"/>
            </w14:solidFill>
          </w14:textFill>
        </w:rPr>
      </w:pPr>
      <w:r>
        <w:rPr>
          <w:rFonts w:hint="eastAsia" w:ascii="仿宋" w:hAnsi="仿宋" w:eastAsia="仿宋" w:cs="仿宋"/>
          <w:b/>
          <w:bCs/>
          <w:color w:val="000000" w:themeColor="text1"/>
          <w:sz w:val="32"/>
          <w:szCs w:val="32"/>
          <w:lang w:val="en-US" w:eastAsia="zh-CN"/>
          <w14:textFill>
            <w14:solidFill>
              <w14:schemeClr w14:val="tx1"/>
            </w14:solidFill>
          </w14:textFill>
        </w:rPr>
        <w:t>1.涉企为民服务领域集中整治工作有序开展</w:t>
      </w:r>
    </w:p>
    <w:p w14:paraId="44A94E55">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color w:val="000000" w:themeColor="text1"/>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印发《2025年度伊通满族自治县优化营商环境重点行动方案》,各单位依据任务分工逐项细化落实，确保各项任务落地见效。制定集中整治工作方案，实行月调度，成立由县政数局、县发改局、县司法局、县财政局、县市监局组成的专项整治工作专班，明确整治任务，制定工作细则，定期召开专班工作推进会，确保各项工作落实到位。截至目前共梳理“集中整治问题台账”132件，已完成整改并长期坚持132件，其中上报县纪委问题60件，问题线索3条。梳理“涉企便民服务台账”39件。</w:t>
      </w:r>
    </w:p>
    <w:p w14:paraId="06E4495B">
      <w:pPr>
        <w:numPr>
          <w:ilvl w:val="0"/>
          <w:numId w:val="0"/>
        </w:numPr>
        <w:ind w:firstLine="643" w:firstLineChars="200"/>
        <w:jc w:val="both"/>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2.“沉浸式办公”持续推进</w:t>
      </w:r>
    </w:p>
    <w:p w14:paraId="3E3FB092">
      <w:pPr>
        <w:numPr>
          <w:ilvl w:val="0"/>
          <w:numId w:val="0"/>
        </w:numPr>
        <w:ind w:firstLine="640" w:firstLineChars="200"/>
        <w:rPr>
          <w:rFonts w:hint="eastAsia" w:ascii="仿宋" w:hAnsi="仿宋" w:eastAsia="仿宋" w:cs="仿宋"/>
          <w:color w:val="auto"/>
          <w:kern w:val="0"/>
          <w:sz w:val="32"/>
          <w:szCs w:val="32"/>
          <w:shd w:val="clear" w:fill="FFFFFF"/>
          <w:lang w:val="en-US" w:eastAsia="zh-CN" w:bidi="ar"/>
        </w:rPr>
      </w:pPr>
      <w:r>
        <w:rPr>
          <w:rFonts w:hint="eastAsia" w:ascii="仿宋" w:hAnsi="仿宋" w:eastAsia="仿宋" w:cs="仿宋"/>
          <w:kern w:val="0"/>
          <w:sz w:val="32"/>
          <w:szCs w:val="32"/>
          <w:shd w:val="clear" w:fill="FFFFFF"/>
          <w:lang w:val="en-US" w:eastAsia="zh-CN" w:bidi="ar"/>
        </w:rPr>
        <w:t>按照提升年方案要求，县级分管领导每季度，审批部门主要领导、乡镇（街道）党政主要领导每月到驻政务大厅审批办、各地便民服务中心“沉浸式”办公半天，从“管理视角”转换为“服务视角”，面对面了解办理流程、点对点解决实际问题、实打实了解群众诉求，广泛征求群众意见，陪同群众走流程，通过切身体验，经验共享，问题反馈，从根本上提升服务质效。制定“沉浸式办公”排班表，建立办公台账，截至目前，全县各级领导开展“沉浸式办公”活动，</w:t>
      </w:r>
      <w:r>
        <w:rPr>
          <w:rFonts w:hint="eastAsia" w:ascii="仿宋" w:hAnsi="仿宋" w:eastAsia="仿宋" w:cs="仿宋"/>
          <w:color w:val="auto"/>
          <w:sz w:val="32"/>
          <w:szCs w:val="32"/>
        </w:rPr>
        <w:t>从中发现流程不优、运转不畅等问题</w:t>
      </w:r>
      <w:r>
        <w:rPr>
          <w:rFonts w:hint="eastAsia" w:ascii="仿宋" w:hAnsi="仿宋" w:eastAsia="仿宋" w:cs="仿宋"/>
          <w:color w:val="auto"/>
          <w:sz w:val="32"/>
          <w:szCs w:val="32"/>
          <w:lang w:val="en-US" w:eastAsia="zh-CN"/>
        </w:rPr>
        <w:t>，已全部整改完毕</w:t>
      </w:r>
      <w:r>
        <w:rPr>
          <w:rFonts w:hint="eastAsia" w:ascii="仿宋" w:hAnsi="仿宋" w:eastAsia="仿宋" w:cs="仿宋"/>
          <w:color w:val="auto"/>
          <w:sz w:val="32"/>
          <w:szCs w:val="32"/>
        </w:rPr>
        <w:t>。</w:t>
      </w:r>
    </w:p>
    <w:p w14:paraId="1CE5CD14">
      <w:pPr>
        <w:numPr>
          <w:ilvl w:val="0"/>
          <w:numId w:val="0"/>
        </w:numPr>
        <w:ind w:firstLine="643" w:firstLineChars="200"/>
        <w:jc w:val="both"/>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3.信用环境建设持续开展</w:t>
      </w:r>
    </w:p>
    <w:p w14:paraId="1743AD40">
      <w:pPr>
        <w:ind w:firstLine="640" w:firstLineChars="200"/>
        <w:rPr>
          <w:rFonts w:hint="eastAsia" w:ascii="仿宋" w:hAnsi="仿宋" w:eastAsia="仿宋" w:cs="仿宋"/>
          <w:bCs w:val="0"/>
          <w:color w:val="auto"/>
          <w:kern w:val="2"/>
          <w:sz w:val="32"/>
          <w:szCs w:val="32"/>
          <w:lang w:val="en-US" w:eastAsia="zh-CN" w:bidi="ar-SA"/>
        </w:rPr>
      </w:pPr>
      <w:r>
        <w:rPr>
          <w:rFonts w:hint="eastAsia" w:ascii="仿宋" w:hAnsi="仿宋" w:eastAsia="仿宋" w:cs="仿宋"/>
          <w:bCs w:val="0"/>
          <w:color w:val="auto"/>
          <w:kern w:val="2"/>
          <w:sz w:val="32"/>
          <w:szCs w:val="32"/>
          <w:lang w:val="en-US" w:eastAsia="zh-CN" w:bidi="ar-SA"/>
        </w:rPr>
        <w:t>根据“应归尽归、应报尽报”的原则，梳理明确涉及31个部门的730项信用信息，编制目录。2025年初至今共归集报送“双公示”信息2396条，其中行政许可信息2222条；行政处罚信息134条,行政监督检查数量24条，行政确认16条。同时推进信用修复工作有效开展，</w:t>
      </w:r>
      <w:r>
        <w:rPr>
          <w:rFonts w:hint="eastAsia" w:ascii="仿宋" w:hAnsi="仿宋" w:eastAsia="仿宋" w:cs="仿宋"/>
          <w:sz w:val="32"/>
          <w:szCs w:val="32"/>
          <w:lang w:val="en-US" w:eastAsia="zh-CN"/>
        </w:rPr>
        <w:t>组织全县28家失信企业及各板块具体负责同志参加伊通满族自治县信用修复培训班，</w:t>
      </w:r>
      <w:r>
        <w:rPr>
          <w:rFonts w:hint="eastAsia" w:ascii="仿宋" w:hAnsi="仿宋" w:eastAsia="仿宋" w:cs="仿宋"/>
          <w:bCs w:val="0"/>
          <w:color w:val="auto"/>
          <w:kern w:val="2"/>
          <w:sz w:val="32"/>
          <w:szCs w:val="32"/>
          <w:lang w:val="en-US" w:eastAsia="zh-CN" w:bidi="ar-SA"/>
        </w:rPr>
        <w:t>进一步增强经营主体守信意识、提升诚信水平。</w:t>
      </w:r>
    </w:p>
    <w:p w14:paraId="1FB995B4">
      <w:pPr>
        <w:numPr>
          <w:ilvl w:val="0"/>
          <w:numId w:val="0"/>
        </w:numPr>
        <w:ind w:firstLine="640" w:firstLineChars="200"/>
        <w:jc w:val="both"/>
        <w:rPr>
          <w:rFonts w:hint="eastAsia" w:ascii="楷体" w:hAnsi="楷体" w:eastAsia="楷体" w:cs="楷体"/>
          <w:bCs w:val="0"/>
          <w:color w:val="auto"/>
          <w:kern w:val="2"/>
          <w:sz w:val="32"/>
          <w:szCs w:val="32"/>
          <w:lang w:val="en-US" w:eastAsia="zh-CN" w:bidi="ar-SA"/>
        </w:rPr>
      </w:pPr>
      <w:r>
        <w:rPr>
          <w:rFonts w:hint="eastAsia" w:ascii="楷体" w:hAnsi="楷体" w:eastAsia="楷体" w:cs="楷体"/>
          <w:bCs w:val="0"/>
          <w:color w:val="auto"/>
          <w:kern w:val="2"/>
          <w:sz w:val="32"/>
          <w:szCs w:val="32"/>
          <w:lang w:val="en-US" w:eastAsia="zh-CN" w:bidi="ar-SA"/>
        </w:rPr>
        <w:t>（三）“</w:t>
      </w:r>
      <w:r>
        <w:rPr>
          <w:rFonts w:hint="eastAsia" w:ascii="楷体" w:hAnsi="楷体" w:eastAsia="楷体" w:cs="楷体"/>
          <w:b w:val="0"/>
          <w:bCs w:val="0"/>
          <w:sz w:val="32"/>
          <w:szCs w:val="32"/>
          <w:lang w:val="en-US" w:eastAsia="zh-CN"/>
        </w:rPr>
        <w:t>接诉即办”群众满意度不断提升</w:t>
      </w:r>
    </w:p>
    <w:p w14:paraId="6B2CC07E">
      <w:pPr>
        <w:numPr>
          <w:ilvl w:val="0"/>
          <w:numId w:val="0"/>
        </w:numPr>
        <w:ind w:firstLine="708" w:firstLineChars="200"/>
        <w:jc w:val="left"/>
        <w:rPr>
          <w:rFonts w:hint="eastAsia" w:ascii="仿宋" w:hAnsi="仿宋" w:eastAsia="仿宋" w:cs="仿宋"/>
          <w:kern w:val="2"/>
          <w:sz w:val="32"/>
          <w:szCs w:val="32"/>
          <w:lang w:val="en-US" w:eastAsia="zh-CN" w:bidi="ar-SA"/>
        </w:rPr>
      </w:pPr>
      <w:r>
        <w:rPr>
          <w:rFonts w:hint="eastAsia" w:ascii="仿宋" w:hAnsi="仿宋" w:eastAsia="仿宋" w:cs="仿宋"/>
          <w:i w:val="0"/>
          <w:iCs w:val="0"/>
          <w:color w:val="auto"/>
          <w:spacing w:val="17"/>
          <w:w w:val="100"/>
          <w:position w:val="0"/>
          <w:sz w:val="32"/>
          <w:szCs w:val="32"/>
          <w:u w:val="none" w:color="auto"/>
          <w:lang w:val="en-US" w:eastAsia="zh-CN"/>
        </w:rPr>
        <w:t>我</w:t>
      </w:r>
      <w:r>
        <w:rPr>
          <w:rFonts w:hint="eastAsia" w:ascii="仿宋" w:hAnsi="仿宋" w:eastAsia="仿宋" w:cs="仿宋"/>
          <w:i w:val="0"/>
          <w:iCs w:val="0"/>
          <w:color w:val="auto"/>
          <w:spacing w:val="17"/>
          <w:w w:val="100"/>
          <w:position w:val="0"/>
          <w:sz w:val="32"/>
          <w:szCs w:val="32"/>
          <w:u w:val="none" w:color="auto"/>
        </w:rPr>
        <w:t>县“</w:t>
      </w:r>
      <w:r>
        <w:rPr>
          <w:rFonts w:hint="eastAsia" w:ascii="仿宋" w:hAnsi="仿宋" w:eastAsia="仿宋" w:cs="仿宋"/>
          <w:i w:val="0"/>
          <w:iCs w:val="0"/>
          <w:color w:val="auto"/>
          <w:spacing w:val="17"/>
          <w:w w:val="100"/>
          <w:position w:val="0"/>
          <w:sz w:val="32"/>
          <w:szCs w:val="32"/>
          <w:u w:val="none" w:color="auto"/>
          <w:lang w:eastAsia="zh-CN"/>
        </w:rPr>
        <w:t>接诉即办</w:t>
      </w:r>
      <w:r>
        <w:rPr>
          <w:rFonts w:hint="eastAsia" w:ascii="仿宋" w:hAnsi="仿宋" w:eastAsia="仿宋" w:cs="仿宋"/>
          <w:i w:val="0"/>
          <w:iCs w:val="0"/>
          <w:color w:val="auto"/>
          <w:spacing w:val="17"/>
          <w:w w:val="100"/>
          <w:position w:val="0"/>
          <w:sz w:val="32"/>
          <w:szCs w:val="32"/>
          <w:u w:val="none" w:color="auto"/>
        </w:rPr>
        <w:t>”始终坚持“全心全意为人民服务”的宗旨，不断创新工作方法，强化考核机制，加大督办力度，切实解决了一批群众关心的实际问题。</w:t>
      </w:r>
      <w:r>
        <w:rPr>
          <w:rFonts w:hint="eastAsia" w:ascii="仿宋" w:hAnsi="仿宋" w:eastAsia="仿宋" w:cs="仿宋"/>
          <w:kern w:val="2"/>
          <w:sz w:val="32"/>
          <w:szCs w:val="32"/>
          <w:lang w:val="en-US" w:eastAsia="zh-CN" w:bidi="ar-SA"/>
        </w:rPr>
        <w:t>建立了“三位一体”督查督办制度，由纪委监委、督查室、营商环境办对多次多人投诉仍不能解决的问题开展上门督办，对部分绩效欠佳、排名靠后的单位采取发整改函、召开协调会等方式进行督办。共发出整改函4份，上门督查督办问题7件，召开推进协调会17次，约谈办理进度缓慢单位主要领导6人，全县“接诉即办”工作效率和水平获得明显提升。</w:t>
      </w:r>
    </w:p>
    <w:p w14:paraId="178E4C98">
      <w:pPr>
        <w:numPr>
          <w:ilvl w:val="0"/>
          <w:numId w:val="0"/>
        </w:numPr>
        <w:ind w:firstLine="640" w:firstLineChars="200"/>
        <w:jc w:val="left"/>
        <w:rPr>
          <w:rFonts w:hint="eastAsia" w:ascii="仿宋" w:hAnsi="仿宋" w:eastAsia="仿宋" w:cs="仿宋"/>
          <w:i w:val="0"/>
          <w:iCs w:val="0"/>
          <w:color w:val="auto"/>
          <w:spacing w:val="17"/>
          <w:w w:val="100"/>
          <w:position w:val="0"/>
          <w:sz w:val="32"/>
          <w:szCs w:val="32"/>
          <w:u w:val="none" w:color="auto"/>
          <w:lang w:val="en-US" w:eastAsia="zh-CN"/>
        </w:rPr>
      </w:pPr>
      <w:r>
        <w:rPr>
          <w:rFonts w:hint="eastAsia" w:ascii="黑体" w:hAnsi="黑体" w:eastAsia="黑体" w:cs="黑体"/>
          <w:b w:val="0"/>
          <w:bCs w:val="0"/>
          <w:sz w:val="32"/>
          <w:szCs w:val="32"/>
          <w:lang w:val="en-US" w:eastAsia="zh-CN"/>
        </w:rPr>
        <w:t>二、存在的问题和不足</w:t>
      </w:r>
    </w:p>
    <w:p w14:paraId="32F9D59F">
      <w:pPr>
        <w:keepNext w:val="0"/>
        <w:keepLines w:val="0"/>
        <w:pageBreakBefore w:val="0"/>
        <w:widowControl/>
        <w:kinsoku/>
        <w:wordWrap/>
        <w:overflowPunct w:val="0"/>
        <w:topLinePunct w:val="0"/>
        <w:autoSpaceDE w:val="0"/>
        <w:autoSpaceDN w:val="0"/>
        <w:bidi w:val="0"/>
        <w:adjustRightInd w:val="0"/>
        <w:snapToGrid w:val="0"/>
        <w:spacing w:line="600" w:lineRule="exact"/>
        <w:ind w:left="0" w:right="0" w:firstLine="708" w:firstLineChars="200"/>
        <w:jc w:val="both"/>
        <w:textAlignment w:val="baseline"/>
        <w:rPr>
          <w:rFonts w:hint="eastAsia" w:ascii="仿宋" w:hAnsi="仿宋" w:eastAsia="仿宋" w:cs="仿宋"/>
          <w:i w:val="0"/>
          <w:iCs w:val="0"/>
          <w:color w:val="auto"/>
          <w:spacing w:val="17"/>
          <w:w w:val="100"/>
          <w:position w:val="0"/>
          <w:sz w:val="32"/>
          <w:szCs w:val="32"/>
          <w:u w:val="none" w:color="auto"/>
          <w:lang w:val="en-US" w:eastAsia="zh-CN"/>
        </w:rPr>
      </w:pPr>
      <w:r>
        <w:rPr>
          <w:rFonts w:hint="eastAsia" w:ascii="仿宋" w:hAnsi="仿宋" w:eastAsia="仿宋" w:cs="仿宋"/>
          <w:i w:val="0"/>
          <w:iCs w:val="0"/>
          <w:color w:val="auto"/>
          <w:spacing w:val="17"/>
          <w:w w:val="100"/>
          <w:position w:val="0"/>
          <w:sz w:val="32"/>
          <w:szCs w:val="32"/>
          <w:u w:val="none" w:color="auto"/>
          <w:lang w:val="en-US" w:eastAsia="zh-CN"/>
        </w:rPr>
        <w:t>营商环境优化提升仍存在短板，我县在部分要素保障上还有短板，低于全省平均水平；法治化营商环境还需要进一步压实，三项制度落得不实；政务服务理念仍需进一步转变，不断提升服务意识。</w:t>
      </w:r>
    </w:p>
    <w:p w14:paraId="50555A80">
      <w:pPr>
        <w:numPr>
          <w:ilvl w:val="0"/>
          <w:numId w:val="0"/>
        </w:numPr>
        <w:ind w:firstLine="640" w:firstLineChars="200"/>
        <w:jc w:val="left"/>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三、党政主要负责人履行推进法治建设第一责任人职责</w:t>
      </w:r>
    </w:p>
    <w:p w14:paraId="135E048F">
      <w:pPr>
        <w:numPr>
          <w:ilvl w:val="0"/>
          <w:numId w:val="0"/>
        </w:numPr>
        <w:ind w:firstLine="640" w:firstLineChars="200"/>
        <w:jc w:val="both"/>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一是认真履行职责，加强法治政府建设。</w:t>
      </w:r>
      <w:r>
        <w:rPr>
          <w:rFonts w:hint="eastAsia" w:ascii="仿宋" w:hAnsi="仿宋" w:eastAsia="仿宋" w:cs="仿宋"/>
          <w:color w:val="000000" w:themeColor="text1"/>
          <w:sz w:val="32"/>
          <w:szCs w:val="32"/>
          <w:lang w:val="en-US" w:eastAsia="zh-CN"/>
          <w14:textFill>
            <w14:solidFill>
              <w14:schemeClr w14:val="tx1"/>
            </w14:solidFill>
          </w14:textFill>
        </w:rPr>
        <w:t>坚持党对法治工作的领导，把依法治县与优化政务服务体系，加强营商环境建设等工作统一起来，全力推动法治政府建设项任务落实。强化组织领导，专题研究部署，夯实了党政主要负责人履行推进法治政府建设第一责任人职责，做到重要工作亲自部署、重大问题亲自过问、重点环节亲自协调，细化工作任务，确保各项工作落实到位。</w:t>
      </w:r>
    </w:p>
    <w:p w14:paraId="3635400C">
      <w:pPr>
        <w:numPr>
          <w:ilvl w:val="0"/>
          <w:numId w:val="0"/>
        </w:numPr>
        <w:ind w:firstLine="640" w:firstLineChars="200"/>
        <w:jc w:val="both"/>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二是</w:t>
      </w:r>
      <w:r>
        <w:rPr>
          <w:rFonts w:hint="eastAsia" w:ascii="仿宋" w:hAnsi="仿宋" w:eastAsia="仿宋" w:cs="仿宋"/>
          <w:b w:val="0"/>
          <w:bCs w:val="0"/>
          <w:color w:val="000000" w:themeColor="text1"/>
          <w:sz w:val="32"/>
          <w:szCs w:val="32"/>
          <w:lang w:val="en-US" w:eastAsia="zh-CN"/>
          <w14:textFill>
            <w14:solidFill>
              <w14:schemeClr w14:val="tx1"/>
            </w14:solidFill>
          </w14:textFill>
        </w:rPr>
        <w:t>深入学习宣传贯彻习近平法治思想，将习近平法治思想作为理论学习中心组学习的重要内容。县政数局党组始终坚持以习近平法治思想为指引，始终坚持党的领导，始终坚持中国特色社会主义法治道路，着力抓紧抓实建设中国特色社会主义法治体系的重点任务，提高政治站位，强化责任担当，以实际行动推动学习宣传贯彻习近平法治思想及法治政府工作再深入。</w:t>
      </w:r>
    </w:p>
    <w:p w14:paraId="317F0876">
      <w:pPr>
        <w:numPr>
          <w:ilvl w:val="0"/>
          <w:numId w:val="0"/>
        </w:numPr>
        <w:ind w:leftChars="0" w:firstLine="640" w:firstLineChars="200"/>
        <w:jc w:val="left"/>
        <w:rPr>
          <w:rFonts w:hint="eastAsia" w:ascii="仿宋" w:hAnsi="仿宋" w:eastAsia="仿宋" w:cs="仿宋"/>
          <w:b w:val="0"/>
          <w:bCs w:val="0"/>
          <w:sz w:val="32"/>
          <w:szCs w:val="32"/>
          <w:lang w:val="en-US" w:eastAsia="zh-CN"/>
        </w:rPr>
      </w:pPr>
      <w:r>
        <w:rPr>
          <w:rFonts w:hint="eastAsia" w:ascii="黑体" w:hAnsi="黑体" w:eastAsia="黑体" w:cs="黑体"/>
          <w:b w:val="0"/>
          <w:bCs w:val="0"/>
          <w:sz w:val="32"/>
          <w:szCs w:val="32"/>
          <w:lang w:val="en-US" w:eastAsia="zh-CN"/>
        </w:rPr>
        <w:t>四、2025年度主要工作安排</w:t>
      </w:r>
    </w:p>
    <w:p w14:paraId="0C601F7B">
      <w:pPr>
        <w:keepNext w:val="0"/>
        <w:keepLines w:val="0"/>
        <w:pageBreakBefore w:val="0"/>
        <w:widowControl/>
        <w:kinsoku/>
        <w:wordWrap/>
        <w:overflowPunct w:val="0"/>
        <w:topLinePunct w:val="0"/>
        <w:autoSpaceDE w:val="0"/>
        <w:autoSpaceDN w:val="0"/>
        <w:bidi w:val="0"/>
        <w:adjustRightInd w:val="0"/>
        <w:snapToGrid w:val="0"/>
        <w:spacing w:line="600" w:lineRule="exact"/>
        <w:ind w:left="0" w:right="0" w:firstLine="708" w:firstLineChars="200"/>
        <w:jc w:val="both"/>
        <w:textAlignment w:val="baseline"/>
        <w:rPr>
          <w:rFonts w:hint="eastAsia" w:ascii="仿宋" w:hAnsi="仿宋" w:eastAsia="仿宋" w:cs="仿宋"/>
          <w:i w:val="0"/>
          <w:iCs w:val="0"/>
          <w:color w:val="auto"/>
          <w:spacing w:val="17"/>
          <w:w w:val="100"/>
          <w:position w:val="0"/>
          <w:sz w:val="32"/>
          <w:szCs w:val="32"/>
          <w:u w:val="none" w:color="auto"/>
          <w:lang w:val="en-US" w:eastAsia="zh-CN"/>
        </w:rPr>
      </w:pPr>
      <w:r>
        <w:rPr>
          <w:rFonts w:hint="eastAsia" w:ascii="仿宋" w:hAnsi="仿宋" w:eastAsia="仿宋" w:cs="仿宋"/>
          <w:i w:val="0"/>
          <w:iCs w:val="0"/>
          <w:color w:val="auto"/>
          <w:spacing w:val="17"/>
          <w:w w:val="100"/>
          <w:position w:val="0"/>
          <w:sz w:val="32"/>
          <w:szCs w:val="32"/>
          <w:u w:val="none" w:color="auto"/>
          <w:lang w:val="en-US" w:eastAsia="zh-CN"/>
        </w:rPr>
        <w:t>一是推动清单标准化建设，提升政务服务规范化、便利化水平，提高政务服务质量。及时梳理权责清单，做好动态调整工作，确保清单的时效性和准确性。指导乡镇街道建立权责清单管理制度，健全边界清晰，运作高效的制约机制。</w:t>
      </w:r>
    </w:p>
    <w:p w14:paraId="072C1B54">
      <w:pPr>
        <w:keepNext w:val="0"/>
        <w:keepLines w:val="0"/>
        <w:pageBreakBefore w:val="0"/>
        <w:widowControl/>
        <w:kinsoku/>
        <w:wordWrap/>
        <w:overflowPunct w:val="0"/>
        <w:topLinePunct w:val="0"/>
        <w:autoSpaceDE w:val="0"/>
        <w:autoSpaceDN w:val="0"/>
        <w:bidi w:val="0"/>
        <w:adjustRightInd w:val="0"/>
        <w:snapToGrid w:val="0"/>
        <w:spacing w:line="600" w:lineRule="exact"/>
        <w:ind w:left="0" w:right="0" w:firstLine="708" w:firstLineChars="200"/>
        <w:jc w:val="both"/>
        <w:textAlignment w:val="baseline"/>
        <w:rPr>
          <w:rFonts w:hint="eastAsia" w:ascii="仿宋" w:hAnsi="仿宋" w:eastAsia="仿宋" w:cs="仿宋"/>
          <w:i w:val="0"/>
          <w:iCs w:val="0"/>
          <w:color w:val="auto"/>
          <w:spacing w:val="17"/>
          <w:w w:val="100"/>
          <w:position w:val="0"/>
          <w:sz w:val="32"/>
          <w:szCs w:val="32"/>
          <w:u w:val="none" w:color="auto"/>
          <w:lang w:val="en-US" w:eastAsia="zh-CN"/>
        </w:rPr>
      </w:pPr>
      <w:r>
        <w:rPr>
          <w:rFonts w:hint="eastAsia" w:ascii="仿宋" w:hAnsi="仿宋" w:eastAsia="仿宋" w:cs="仿宋"/>
          <w:i w:val="0"/>
          <w:iCs w:val="0"/>
          <w:color w:val="auto"/>
          <w:spacing w:val="17"/>
          <w:w w:val="100"/>
          <w:position w:val="0"/>
          <w:sz w:val="32"/>
          <w:szCs w:val="32"/>
          <w:u w:val="none" w:color="auto"/>
          <w:lang w:val="en-US" w:eastAsia="zh-CN"/>
        </w:rPr>
        <w:t>二是落实“高效办成一件事”工作。继续推动落实国、省、市，第一批第二批一件事落实，保证群众享受到改革成果。</w:t>
      </w:r>
    </w:p>
    <w:p w14:paraId="7B78173D">
      <w:pPr>
        <w:keepNext w:val="0"/>
        <w:keepLines w:val="0"/>
        <w:pageBreakBefore w:val="0"/>
        <w:widowControl/>
        <w:kinsoku/>
        <w:wordWrap/>
        <w:overflowPunct w:val="0"/>
        <w:topLinePunct w:val="0"/>
        <w:autoSpaceDE w:val="0"/>
        <w:autoSpaceDN w:val="0"/>
        <w:bidi w:val="0"/>
        <w:adjustRightInd w:val="0"/>
        <w:snapToGrid w:val="0"/>
        <w:spacing w:line="600" w:lineRule="exact"/>
        <w:ind w:left="0" w:right="0" w:firstLine="708" w:firstLineChars="200"/>
        <w:jc w:val="both"/>
        <w:textAlignment w:val="baseline"/>
        <w:rPr>
          <w:rFonts w:hint="eastAsia" w:ascii="仿宋" w:hAnsi="仿宋" w:eastAsia="仿宋" w:cs="仿宋"/>
          <w:i w:val="0"/>
          <w:iCs w:val="0"/>
          <w:color w:val="auto"/>
          <w:spacing w:val="17"/>
          <w:w w:val="100"/>
          <w:position w:val="0"/>
          <w:sz w:val="32"/>
          <w:szCs w:val="32"/>
          <w:u w:val="none" w:color="auto"/>
          <w:lang w:val="en-US" w:eastAsia="zh-CN"/>
        </w:rPr>
      </w:pPr>
      <w:r>
        <w:rPr>
          <w:rFonts w:hint="eastAsia" w:ascii="仿宋" w:hAnsi="仿宋" w:eastAsia="仿宋" w:cs="仿宋"/>
          <w:i w:val="0"/>
          <w:iCs w:val="0"/>
          <w:color w:val="auto"/>
          <w:spacing w:val="17"/>
          <w:w w:val="100"/>
          <w:position w:val="0"/>
          <w:sz w:val="32"/>
          <w:szCs w:val="32"/>
          <w:u w:val="none" w:color="auto"/>
          <w:lang w:val="en-US" w:eastAsia="zh-CN"/>
        </w:rPr>
        <w:t>三是编制办事指南，调整新版全流程审批系统事项。随着政务服务事项审批事项的压缩、材料压减，需要对新版全流程审批系统的事项全部进行重新配置，办事指南、一次性告知单均需重新编辑。</w:t>
      </w:r>
    </w:p>
    <w:p w14:paraId="64A19510">
      <w:pPr>
        <w:keepNext w:val="0"/>
        <w:keepLines w:val="0"/>
        <w:pageBreakBefore w:val="0"/>
        <w:widowControl/>
        <w:kinsoku/>
        <w:wordWrap/>
        <w:overflowPunct w:val="0"/>
        <w:topLinePunct w:val="0"/>
        <w:autoSpaceDE w:val="0"/>
        <w:autoSpaceDN w:val="0"/>
        <w:bidi w:val="0"/>
        <w:adjustRightInd w:val="0"/>
        <w:snapToGrid w:val="0"/>
        <w:spacing w:line="600" w:lineRule="exact"/>
        <w:ind w:left="0" w:right="0" w:firstLine="708" w:firstLineChars="200"/>
        <w:jc w:val="both"/>
        <w:textAlignment w:val="baseline"/>
        <w:rPr>
          <w:rFonts w:hint="eastAsia" w:ascii="仿宋" w:hAnsi="仿宋" w:eastAsia="仿宋" w:cs="仿宋"/>
          <w:i w:val="0"/>
          <w:iCs w:val="0"/>
          <w:color w:val="auto"/>
          <w:spacing w:val="17"/>
          <w:w w:val="100"/>
          <w:position w:val="0"/>
          <w:sz w:val="32"/>
          <w:szCs w:val="32"/>
          <w:u w:val="none" w:color="auto"/>
          <w:lang w:val="en-US" w:eastAsia="zh-CN"/>
        </w:rPr>
      </w:pPr>
      <w:r>
        <w:rPr>
          <w:rFonts w:hint="eastAsia" w:ascii="仿宋" w:hAnsi="仿宋" w:eastAsia="仿宋" w:cs="仿宋"/>
          <w:i w:val="0"/>
          <w:iCs w:val="0"/>
          <w:color w:val="auto"/>
          <w:spacing w:val="17"/>
          <w:w w:val="100"/>
          <w:position w:val="0"/>
          <w:sz w:val="32"/>
          <w:szCs w:val="32"/>
          <w:u w:val="none" w:color="auto"/>
          <w:lang w:val="en-US" w:eastAsia="zh-CN"/>
        </w:rPr>
        <w:t>四是进一步推进“接诉即办”工作。进一步加强上门督办、领导批办，引导承办单位自我联办，有效减少推诿扯皮现象。选取适当时机召开全县协调推进会，根据阶段工作重点举办承办人业务培训会；继续完善“日督办、周排名、月通报”制度，保持压力传导到基层一线，不断提升群众满意度。</w:t>
      </w:r>
    </w:p>
    <w:p w14:paraId="71188BA7">
      <w:pPr>
        <w:keepNext w:val="0"/>
        <w:keepLines w:val="0"/>
        <w:pageBreakBefore w:val="0"/>
        <w:widowControl/>
        <w:kinsoku/>
        <w:wordWrap/>
        <w:overflowPunct w:val="0"/>
        <w:topLinePunct w:val="0"/>
        <w:autoSpaceDE w:val="0"/>
        <w:autoSpaceDN w:val="0"/>
        <w:bidi w:val="0"/>
        <w:adjustRightInd w:val="0"/>
        <w:snapToGrid w:val="0"/>
        <w:spacing w:line="600" w:lineRule="exact"/>
        <w:ind w:left="0" w:right="0" w:firstLine="708" w:firstLineChars="200"/>
        <w:jc w:val="both"/>
        <w:textAlignment w:val="baseline"/>
        <w:rPr>
          <w:rFonts w:hint="eastAsia" w:ascii="仿宋" w:hAnsi="仿宋" w:eastAsia="仿宋" w:cs="仿宋"/>
          <w:i w:val="0"/>
          <w:iCs w:val="0"/>
          <w:color w:val="auto"/>
          <w:spacing w:val="17"/>
          <w:w w:val="100"/>
          <w:position w:val="0"/>
          <w:sz w:val="32"/>
          <w:szCs w:val="32"/>
          <w:u w:val="none" w:color="auto"/>
          <w:lang w:val="en-US" w:eastAsia="zh-CN"/>
        </w:rPr>
      </w:pPr>
      <w:r>
        <w:rPr>
          <w:rFonts w:hint="eastAsia" w:ascii="仿宋" w:hAnsi="仿宋" w:eastAsia="仿宋" w:cs="仿宋"/>
          <w:i w:val="0"/>
          <w:iCs w:val="0"/>
          <w:color w:val="auto"/>
          <w:spacing w:val="17"/>
          <w:w w:val="100"/>
          <w:position w:val="0"/>
          <w:sz w:val="32"/>
          <w:szCs w:val="32"/>
          <w:u w:val="none" w:color="auto"/>
          <w:lang w:val="en-US" w:eastAsia="zh-CN"/>
        </w:rPr>
        <w:t>五是继续深入开展政务服务领域群众身边不正之风和腐败问题集中整治工作。积极收集问题和线索。通过12345、12342、政府网站、微信微博、领导留言板等平台收集政务服务领域群众身边不正之风和腐败问题。综合运用明察暗访、电话回访、现场核验等方式对整改工作落实情况进行督导核验，持续查找问题，建立长效机制，抓好整改，不断转变工作作风，为群众提供更加便捷高效的服务。</w:t>
      </w:r>
    </w:p>
    <w:p w14:paraId="452A0518">
      <w:pPr>
        <w:keepNext w:val="0"/>
        <w:keepLines w:val="0"/>
        <w:pageBreakBefore w:val="0"/>
        <w:widowControl/>
        <w:kinsoku/>
        <w:wordWrap/>
        <w:overflowPunct w:val="0"/>
        <w:topLinePunct w:val="0"/>
        <w:autoSpaceDE w:val="0"/>
        <w:autoSpaceDN w:val="0"/>
        <w:bidi w:val="0"/>
        <w:adjustRightInd w:val="0"/>
        <w:snapToGrid w:val="0"/>
        <w:spacing w:line="600" w:lineRule="exact"/>
        <w:ind w:left="0" w:right="0" w:firstLine="708" w:firstLineChars="200"/>
        <w:jc w:val="both"/>
        <w:textAlignment w:val="baseline"/>
        <w:rPr>
          <w:rFonts w:hint="eastAsia" w:ascii="仿宋" w:hAnsi="仿宋" w:eastAsia="仿宋" w:cs="仿宋"/>
          <w:i w:val="0"/>
          <w:iCs w:val="0"/>
          <w:color w:val="auto"/>
          <w:spacing w:val="17"/>
          <w:w w:val="100"/>
          <w:position w:val="0"/>
          <w:sz w:val="32"/>
          <w:szCs w:val="32"/>
          <w:u w:val="none" w:color="auto"/>
          <w:lang w:val="en-US" w:eastAsia="zh-CN"/>
        </w:rPr>
      </w:pPr>
      <w:r>
        <w:rPr>
          <w:rFonts w:hint="eastAsia" w:ascii="仿宋" w:hAnsi="仿宋" w:eastAsia="仿宋" w:cs="仿宋"/>
          <w:i w:val="0"/>
          <w:iCs w:val="0"/>
          <w:color w:val="auto"/>
          <w:spacing w:val="17"/>
          <w:w w:val="100"/>
          <w:position w:val="0"/>
          <w:sz w:val="32"/>
          <w:szCs w:val="32"/>
          <w:u w:val="none" w:color="auto"/>
          <w:lang w:val="en-US" w:eastAsia="zh-CN"/>
        </w:rPr>
        <w:t xml:space="preserve"> </w:t>
      </w:r>
    </w:p>
    <w:p w14:paraId="63558DD6">
      <w:pPr>
        <w:pStyle w:val="2"/>
        <w:rPr>
          <w:rFonts w:hint="eastAsia" w:ascii="仿宋" w:hAnsi="仿宋" w:eastAsia="仿宋" w:cs="仿宋"/>
          <w:i w:val="0"/>
          <w:iCs w:val="0"/>
          <w:color w:val="auto"/>
          <w:spacing w:val="17"/>
          <w:w w:val="100"/>
          <w:position w:val="0"/>
          <w:sz w:val="32"/>
          <w:szCs w:val="32"/>
          <w:u w:val="none" w:color="auto"/>
          <w:lang w:val="en-US" w:eastAsia="zh-CN"/>
        </w:rPr>
      </w:pPr>
    </w:p>
    <w:p w14:paraId="67BAB983">
      <w:pPr>
        <w:pStyle w:val="2"/>
        <w:numPr>
          <w:ilvl w:val="0"/>
          <w:numId w:val="0"/>
        </w:numPr>
        <w:ind w:leftChars="0"/>
        <w:rPr>
          <w:rFonts w:hint="eastAsia" w:ascii="仿宋" w:hAnsi="仿宋" w:eastAsia="仿宋" w:cs="仿宋"/>
          <w:sz w:val="32"/>
          <w:szCs w:val="32"/>
          <w:lang w:val="en-US" w:eastAsia="zh-CN"/>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018D28">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CB1A73">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3CB1A73">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c1Y2M1MzZmNzU4NjBmZDg5MjYwYjI2ZDQ3Mzg3MGMifQ=="/>
  </w:docVars>
  <w:rsids>
    <w:rsidRoot w:val="00000000"/>
    <w:rsid w:val="05850883"/>
    <w:rsid w:val="06091AE5"/>
    <w:rsid w:val="0A357770"/>
    <w:rsid w:val="10CA73A0"/>
    <w:rsid w:val="18422604"/>
    <w:rsid w:val="18714AC5"/>
    <w:rsid w:val="1D391C9E"/>
    <w:rsid w:val="1EC024D4"/>
    <w:rsid w:val="231E77CA"/>
    <w:rsid w:val="241E3F25"/>
    <w:rsid w:val="2D300825"/>
    <w:rsid w:val="2EA67F4E"/>
    <w:rsid w:val="331A61FF"/>
    <w:rsid w:val="3CE82ECA"/>
    <w:rsid w:val="3F7B0026"/>
    <w:rsid w:val="405C7E57"/>
    <w:rsid w:val="445D7CFA"/>
    <w:rsid w:val="501A0DC9"/>
    <w:rsid w:val="51E90E1F"/>
    <w:rsid w:val="52104525"/>
    <w:rsid w:val="54896029"/>
    <w:rsid w:val="55BA31FE"/>
    <w:rsid w:val="65B07BA4"/>
    <w:rsid w:val="74E10F70"/>
    <w:rsid w:val="776B5CAF"/>
    <w:rsid w:val="785D2799"/>
    <w:rsid w:val="7BA07EF1"/>
    <w:rsid w:val="7CB0132B"/>
    <w:rsid w:val="7D0657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left="0" w:leftChars="0" w:firstLine="960"/>
    </w:pPr>
  </w:style>
  <w:style w:type="paragraph" w:styleId="3">
    <w:name w:val="Body Text Indent"/>
    <w:basedOn w:val="1"/>
    <w:next w:val="4"/>
    <w:qFormat/>
    <w:uiPriority w:val="0"/>
    <w:pPr>
      <w:ind w:firstLine="570"/>
    </w:pPr>
    <w:rPr>
      <w:sz w:val="32"/>
    </w:rPr>
  </w:style>
  <w:style w:type="paragraph" w:styleId="4">
    <w:name w:val="Normal Indent"/>
    <w:basedOn w:val="1"/>
    <w:qFormat/>
    <w:uiPriority w:val="0"/>
    <w:pPr>
      <w:ind w:firstLine="200" w:firstLineChars="200"/>
    </w:pPr>
    <w:rPr>
      <w:rFonts w:eastAsia="仿宋"/>
      <w:sz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2944</Words>
  <Characters>3063</Characters>
  <Lines>0</Lines>
  <Paragraphs>0</Paragraphs>
  <TotalTime>13</TotalTime>
  <ScaleCrop>false</ScaleCrop>
  <LinksUpToDate>false</LinksUpToDate>
  <CharactersWithSpaces>3081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2024-10-12T04:19:00Z</dcterms:created>
  <dc:creator>Administrator</dc:creator>
  <cp:lastModifiedBy>A  . 赱赱檤，銩ㄋ</cp:lastModifiedBy>
  <cp:lastPrinted>2025-10-15T08:04:00Z</cp:lastPrinted>
  <dcterms:modified xsi:type="dcterms:W3CDTF">2025-10-28T06:27:30Z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092353AC63FA41E09CC8EC5A18C9ACC1_13</vt:lpwstr>
  </property>
  <property fmtid="{D5CDD505-2E9C-101B-9397-08002B2CF9AE}" pid="4" name="KSOTemplateDocerSaveRecord">
    <vt:lpwstr>eyJoZGlkIjoiZmNiYzhjOGM1OGQ5MWQ2NTkxMmUyMTVlYThmYWMyZGQiLCJ1c2VySWQiOiIyMzg2NjM5ODMifQ==</vt:lpwstr>
  </property>
</Properties>
</file>