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31A2605">
      <w:pPr>
        <w:jc w:val="center"/>
        <w:rPr>
          <w:rFonts w:hint="eastAsia" w:asciiTheme="majorEastAsia" w:hAnsiTheme="majorEastAsia" w:eastAsiaTheme="majorEastAsia" w:cstheme="majorEastAsia"/>
          <w:b/>
          <w:bCs w:val="0"/>
          <w:sz w:val="44"/>
          <w:szCs w:val="4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 w:val="0"/>
          <w:sz w:val="44"/>
          <w:szCs w:val="44"/>
          <w:lang w:val="en-US" w:eastAsia="zh-CN"/>
        </w:rPr>
        <w:t>文化广播电视和旅游局关于2025年度</w:t>
      </w:r>
    </w:p>
    <w:p w14:paraId="15839C26">
      <w:pPr>
        <w:jc w:val="center"/>
        <w:rPr>
          <w:rFonts w:hint="eastAsia" w:asciiTheme="majorEastAsia" w:hAnsiTheme="majorEastAsia" w:eastAsiaTheme="majorEastAsia" w:cstheme="majorEastAsia"/>
          <w:b/>
          <w:bCs w:val="0"/>
          <w:sz w:val="44"/>
          <w:szCs w:val="4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 w:val="0"/>
          <w:sz w:val="44"/>
          <w:szCs w:val="44"/>
          <w:lang w:val="en-US" w:eastAsia="zh-CN"/>
        </w:rPr>
        <w:t>法治</w:t>
      </w:r>
      <w:bookmarkStart w:id="0" w:name="_GoBack"/>
      <w:bookmarkEnd w:id="0"/>
      <w:r>
        <w:rPr>
          <w:rFonts w:hint="eastAsia" w:asciiTheme="majorEastAsia" w:hAnsiTheme="majorEastAsia" w:eastAsiaTheme="majorEastAsia" w:cstheme="majorEastAsia"/>
          <w:b/>
          <w:bCs w:val="0"/>
          <w:sz w:val="44"/>
          <w:szCs w:val="44"/>
          <w:lang w:val="en-US" w:eastAsia="zh-CN"/>
        </w:rPr>
        <w:t>政府建设情况的报告</w:t>
      </w:r>
    </w:p>
    <w:p w14:paraId="570AFE0D">
      <w:pPr>
        <w:jc w:val="both"/>
        <w:rPr>
          <w:rFonts w:hint="eastAsia" w:ascii="仿宋" w:hAnsi="仿宋" w:eastAsia="仿宋" w:cs="仿宋"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Cs/>
          <w:sz w:val="32"/>
          <w:szCs w:val="32"/>
          <w:lang w:val="en-US" w:eastAsia="zh-CN"/>
        </w:rPr>
        <w:t>县委、县政府：</w:t>
      </w:r>
    </w:p>
    <w:p w14:paraId="6399CEBA">
      <w:pPr>
        <w:jc w:val="center"/>
        <w:rPr>
          <w:rFonts w:hint="eastAsia" w:ascii="仿宋" w:hAnsi="仿宋" w:eastAsia="仿宋" w:cs="仿宋"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Cs/>
          <w:sz w:val="32"/>
          <w:szCs w:val="32"/>
          <w:lang w:val="en-US" w:eastAsia="zh-CN"/>
        </w:rPr>
        <w:t xml:space="preserve">  </w:t>
      </w:r>
      <w:r>
        <w:rPr>
          <w:rFonts w:hint="eastAsia" w:ascii="仿宋" w:hAnsi="仿宋" w:eastAsia="仿宋" w:cs="仿宋"/>
          <w:bCs/>
          <w:sz w:val="32"/>
          <w:szCs w:val="32"/>
        </w:rPr>
        <w:t>202</w:t>
      </w:r>
      <w:r>
        <w:rPr>
          <w:rFonts w:hint="eastAsia" w:ascii="仿宋" w:hAnsi="仿宋" w:eastAsia="仿宋" w:cs="仿宋"/>
          <w:bCs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bCs/>
          <w:sz w:val="32"/>
          <w:szCs w:val="32"/>
        </w:rPr>
        <w:t>年</w:t>
      </w:r>
      <w:r>
        <w:rPr>
          <w:rFonts w:hint="eastAsia" w:ascii="仿宋" w:hAnsi="仿宋" w:eastAsia="仿宋" w:cs="仿宋"/>
          <w:bCs/>
          <w:sz w:val="32"/>
          <w:szCs w:val="32"/>
          <w:lang w:val="en-US" w:eastAsia="zh-CN"/>
        </w:rPr>
        <w:t>度</w:t>
      </w:r>
      <w:r>
        <w:rPr>
          <w:rFonts w:hint="eastAsia" w:ascii="仿宋" w:hAnsi="仿宋" w:eastAsia="仿宋" w:cs="仿宋"/>
          <w:bCs/>
          <w:sz w:val="32"/>
          <w:szCs w:val="32"/>
        </w:rPr>
        <w:t>，</w:t>
      </w:r>
      <w:r>
        <w:rPr>
          <w:rFonts w:hint="eastAsia" w:ascii="仿宋" w:hAnsi="仿宋" w:eastAsia="仿宋" w:cs="仿宋"/>
          <w:bCs/>
          <w:sz w:val="32"/>
          <w:szCs w:val="32"/>
          <w:lang w:val="en-US" w:eastAsia="zh-CN"/>
        </w:rPr>
        <w:t>文化广播电视和旅游局现将有关情况报告如下：</w:t>
      </w:r>
    </w:p>
    <w:p w14:paraId="415FC57B">
      <w:pPr>
        <w:ind w:firstLine="640" w:firstLineChars="200"/>
        <w:rPr>
          <w:rFonts w:hint="eastAsia" w:ascii="黑体" w:hAnsi="黑体" w:eastAsia="黑体" w:cs="黑体"/>
          <w:bCs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Cs/>
          <w:sz w:val="32"/>
          <w:szCs w:val="32"/>
        </w:rPr>
        <w:t>一、</w:t>
      </w:r>
      <w:r>
        <w:rPr>
          <w:rFonts w:hint="eastAsia" w:ascii="黑体" w:hAnsi="黑体" w:eastAsia="黑体" w:cs="黑体"/>
          <w:bCs/>
          <w:sz w:val="32"/>
          <w:szCs w:val="32"/>
          <w:lang w:val="en-US" w:eastAsia="zh-CN"/>
        </w:rPr>
        <w:t>2025年法治政府建设基本情况</w:t>
      </w:r>
    </w:p>
    <w:p w14:paraId="258BADC5"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default" w:ascii="仿宋" w:hAnsi="仿宋" w:eastAsia="仿宋" w:cs="仿宋"/>
          <w:kern w:val="2"/>
          <w:sz w:val="32"/>
          <w:szCs w:val="32"/>
          <w:lang w:val="en-US" w:eastAsia="zh-CN" w:bidi="ar"/>
        </w:rPr>
        <w:t>（一）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深入贯彻落实习近平总书记关于法治建设的重要指示精神，严格执行党组会、理论学习中心组学习制度，对照责任分工，全面完成了县全面依法治县委员会部署的各项重点工作任务。</w:t>
      </w:r>
    </w:p>
    <w:p w14:paraId="5ADD5554">
      <w:pPr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640" w:firstLineChars="200"/>
        <w:jc w:val="both"/>
        <w:rPr>
          <w:rFonts w:hint="eastAsia" w:ascii="仿宋" w:hAnsi="仿宋" w:eastAsia="仿宋" w:cs="仿宋"/>
          <w:bCs/>
          <w:color w:val="000000"/>
          <w:sz w:val="32"/>
          <w:szCs w:val="32"/>
          <w:lang w:val="en-US" w:eastAsia="zh-CN"/>
        </w:rPr>
      </w:pPr>
      <w:r>
        <w:rPr>
          <w:rFonts w:hint="default" w:ascii="仿宋" w:hAnsi="仿宋" w:eastAsia="仿宋" w:cs="仿宋"/>
          <w:kern w:val="2"/>
          <w:sz w:val="32"/>
          <w:szCs w:val="32"/>
          <w:lang w:val="en-US" w:eastAsia="zh-CN" w:bidi="ar"/>
        </w:rPr>
        <w:t>（二）</w:t>
      </w:r>
      <w:r>
        <w:rPr>
          <w:rFonts w:hint="eastAsia" w:ascii="仿宋" w:hAnsi="仿宋" w:eastAsia="仿宋" w:cs="仿宋"/>
          <w:bCs/>
          <w:color w:val="000000"/>
          <w:sz w:val="32"/>
          <w:szCs w:val="32"/>
          <w:lang w:val="en-US" w:eastAsia="zh-CN"/>
        </w:rPr>
        <w:t>成立文旅局法制建设领导小组，明确职责，严格履行重大事项报告制度，对法制建设中遇到的问题和困难召开会议3次，解决了企业个转企、行政审批等过程中遇到的各项问题。</w:t>
      </w:r>
    </w:p>
    <w:p w14:paraId="700AB94F">
      <w:pPr>
        <w:ind w:firstLine="640" w:firstLineChars="200"/>
        <w:rPr>
          <w:rFonts w:hint="eastAsia" w:ascii="黑体" w:hAnsi="黑体" w:eastAsia="黑体" w:cs="黑体"/>
          <w:bCs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Cs/>
          <w:sz w:val="32"/>
          <w:szCs w:val="32"/>
          <w:lang w:val="en-US" w:eastAsia="zh-CN"/>
        </w:rPr>
        <w:t>二</w:t>
      </w:r>
      <w:r>
        <w:rPr>
          <w:rFonts w:hint="eastAsia" w:ascii="黑体" w:hAnsi="黑体" w:eastAsia="黑体" w:cs="黑体"/>
          <w:bCs/>
          <w:sz w:val="32"/>
          <w:szCs w:val="32"/>
        </w:rPr>
        <w:t>、</w:t>
      </w:r>
      <w:r>
        <w:rPr>
          <w:rFonts w:hint="eastAsia" w:ascii="黑体" w:hAnsi="黑体" w:eastAsia="黑体" w:cs="黑体"/>
          <w:bCs/>
          <w:sz w:val="32"/>
          <w:szCs w:val="32"/>
          <w:lang w:val="en-US" w:eastAsia="zh-CN"/>
        </w:rPr>
        <w:t>存在的问题和不足</w:t>
      </w:r>
    </w:p>
    <w:p w14:paraId="27676872">
      <w:pPr>
        <w:pStyle w:val="2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过去一年，我局在全面依法治县工作中取得阶段性成效，但仍面临三方面突出问题：一是专职法治人才队伍力量薄弱，二是普法宣传形式单一、创新性不足，三是行政执法流程与行为规范性有待提升。针对上述问题，下一步我局将从三方面推进整改提升：</w:t>
      </w:r>
    </w:p>
    <w:p w14:paraId="39AFB829">
      <w:pPr>
        <w:pStyle w:val="2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（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一）</w:t>
      </w:r>
      <w:r>
        <w:rPr>
          <w:rFonts w:hint="eastAsia" w:ascii="仿宋" w:hAnsi="仿宋" w:eastAsia="仿宋"/>
          <w:sz w:val="32"/>
          <w:szCs w:val="32"/>
        </w:rPr>
        <w:t>以培训促规范，筑牢执法基础</w:t>
      </w:r>
      <w:r>
        <w:rPr>
          <w:rFonts w:hint="eastAsia" w:ascii="仿宋" w:hAnsi="仿宋" w:eastAsia="仿宋"/>
          <w:sz w:val="32"/>
          <w:szCs w:val="32"/>
          <w:lang w:eastAsia="zh-CN"/>
        </w:rPr>
        <w:t>。</w:t>
      </w:r>
      <w:r>
        <w:rPr>
          <w:rFonts w:hint="eastAsia" w:ascii="仿宋" w:hAnsi="仿宋" w:eastAsia="仿宋"/>
          <w:sz w:val="32"/>
          <w:szCs w:val="32"/>
        </w:rPr>
        <w:t>常态化开展行政工作人员执法能力培训，同步强化行政执法全过程记录管理，通过定期评查、随机抽查执法案卷，倒逼执法标准统一规范。</w:t>
      </w:r>
    </w:p>
    <w:p w14:paraId="7BB931F1">
      <w:pPr>
        <w:pStyle w:val="2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（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二）</w:t>
      </w:r>
      <w:r>
        <w:rPr>
          <w:rFonts w:hint="eastAsia" w:ascii="仿宋" w:hAnsi="仿宋" w:eastAsia="仿宋"/>
          <w:sz w:val="32"/>
          <w:szCs w:val="32"/>
        </w:rPr>
        <w:t>以改革扩影响，丰富普法载体</w:t>
      </w:r>
      <w:r>
        <w:rPr>
          <w:rFonts w:hint="eastAsia" w:ascii="仿宋" w:hAnsi="仿宋" w:eastAsia="仿宋"/>
          <w:sz w:val="32"/>
          <w:szCs w:val="32"/>
          <w:lang w:eastAsia="zh-CN"/>
        </w:rPr>
        <w:t>。</w:t>
      </w:r>
      <w:r>
        <w:rPr>
          <w:rFonts w:hint="eastAsia" w:ascii="仿宋" w:hAnsi="仿宋" w:eastAsia="仿宋"/>
          <w:sz w:val="32"/>
          <w:szCs w:val="32"/>
        </w:rPr>
        <w:t>深化执法体制机制优化，在原有宣传基础上，创新举办主题学习教育活动，从多维度、多渠道拓展普法宣传路径，提升法治宣传覆盖面与渗透力。</w:t>
      </w:r>
    </w:p>
    <w:p w14:paraId="3A5F1FE0">
      <w:pPr>
        <w:pStyle w:val="2"/>
        <w:ind w:firstLine="640" w:firstLineChars="200"/>
        <w:rPr>
          <w:rFonts w:hint="default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（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三）</w:t>
      </w:r>
      <w:r>
        <w:rPr>
          <w:rFonts w:hint="eastAsia" w:ascii="仿宋" w:hAnsi="仿宋" w:eastAsia="仿宋"/>
          <w:sz w:val="32"/>
          <w:szCs w:val="32"/>
        </w:rPr>
        <w:t>以学习提站位，健全考核机制</w:t>
      </w:r>
      <w:r>
        <w:rPr>
          <w:rFonts w:hint="eastAsia" w:ascii="仿宋" w:hAnsi="仿宋" w:eastAsia="仿宋"/>
          <w:sz w:val="32"/>
          <w:szCs w:val="32"/>
          <w:lang w:eastAsia="zh-CN"/>
        </w:rPr>
        <w:t>。</w:t>
      </w:r>
      <w:r>
        <w:rPr>
          <w:rFonts w:hint="eastAsia" w:ascii="仿宋" w:hAnsi="仿宋" w:eastAsia="仿宋"/>
          <w:sz w:val="32"/>
          <w:szCs w:val="32"/>
        </w:rPr>
        <w:t>加强法治政策理论研究与学习，主动对接配合司法局开展相关工作；将学法懂法成效、依法行政落实情况纳入科室及局属单位考核体系，并通过定期检查确保考核落地见效。</w:t>
      </w:r>
    </w:p>
    <w:p w14:paraId="059F9A63">
      <w:pPr>
        <w:numPr>
          <w:ilvl w:val="0"/>
          <w:numId w:val="1"/>
        </w:numPr>
        <w:ind w:left="-10" w:leftChars="0" w:firstLine="640" w:firstLineChars="0"/>
        <w:rPr>
          <w:rFonts w:hint="eastAsia" w:ascii="黑体" w:hAnsi="黑体" w:eastAsia="黑体" w:cs="黑体"/>
          <w:bCs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Cs/>
          <w:sz w:val="32"/>
          <w:szCs w:val="32"/>
          <w:lang w:val="en-US" w:eastAsia="zh-CN"/>
        </w:rPr>
        <w:t>党政主要负责人履行推进法治建设第一责任人职责</w:t>
      </w:r>
    </w:p>
    <w:p w14:paraId="47CEC701">
      <w:pPr>
        <w:keepNext w:val="0"/>
        <w:keepLines w:val="0"/>
        <w:widowControl/>
        <w:suppressLineNumbers w:val="0"/>
        <w:ind w:firstLine="620" w:firstLineChars="200"/>
        <w:jc w:val="left"/>
        <w:rPr>
          <w:rFonts w:hint="eastAsia" w:ascii="仿宋" w:hAnsi="仿宋" w:eastAsia="仿宋" w:cs="仿宋"/>
          <w:color w:val="000000"/>
          <w:kern w:val="0"/>
          <w:sz w:val="31"/>
          <w:szCs w:val="31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31"/>
          <w:szCs w:val="31"/>
          <w:lang w:val="en-US" w:eastAsia="zh-CN" w:bidi="ar"/>
        </w:rPr>
        <w:t>为提升文化旅游广电行业法治化水平，需重点强化法治学习与宣传工作，核心从三方面推进：一是聚焦重点对象，增强宣传针对性。重点对旅游景点、旅行社、旅游饭店、乡村旅游点的经营管理人员，以及持证导游、讲解员开展精准普法教育，确保关键人群懂法用法。二是突出示范引领，健全学法机制。严格落实行政部门领导班子集体学法制度，大力宣传领导干部带头学法、讲法的典型做法，以 “关键少数” 带动全员法治意识提升。三是坚持学用结合，深化基层治理。将法制宣传教育与依法治旅实践紧密结合，深入开展 “学法律、讲权利、讲义务、讲责任” 的 “一学三讲” 活动，推动行业主体依法行使权利、规范自身行为，最终营造尊法、学法、守法、用法的良好行业氛围。</w:t>
      </w:r>
    </w:p>
    <w:p w14:paraId="4DCEE2A8">
      <w:pPr>
        <w:pStyle w:val="2"/>
      </w:pPr>
    </w:p>
    <w:p w14:paraId="6CE392EA">
      <w:pPr>
        <w:pStyle w:val="2"/>
        <w:ind w:firstLine="640" w:firstLineChars="200"/>
        <w:rPr>
          <w:rFonts w:hint="eastAsia" w:ascii="黑体" w:hAnsi="黑体" w:eastAsia="黑体" w:cs="黑体"/>
          <w:bCs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Cs/>
          <w:sz w:val="32"/>
          <w:szCs w:val="32"/>
          <w:lang w:val="en-US" w:eastAsia="zh-CN"/>
        </w:rPr>
        <w:t>四</w:t>
      </w:r>
      <w:r>
        <w:rPr>
          <w:rFonts w:hint="eastAsia" w:ascii="黑体" w:hAnsi="黑体" w:eastAsia="黑体" w:cs="黑体"/>
          <w:bCs/>
          <w:sz w:val="32"/>
          <w:szCs w:val="32"/>
        </w:rPr>
        <w:t>、</w:t>
      </w:r>
      <w:r>
        <w:rPr>
          <w:rFonts w:hint="eastAsia" w:ascii="黑体" w:hAnsi="黑体" w:eastAsia="黑体" w:cs="黑体"/>
          <w:bCs/>
          <w:sz w:val="32"/>
          <w:szCs w:val="32"/>
          <w:lang w:val="en-US" w:eastAsia="zh-CN"/>
        </w:rPr>
        <w:t>2026年主要工作安排</w:t>
      </w:r>
    </w:p>
    <w:p w14:paraId="4EE7C733">
      <w:pPr>
        <w:keepNext w:val="0"/>
        <w:keepLines w:val="0"/>
        <w:widowControl/>
        <w:suppressLineNumbers w:val="0"/>
        <w:ind w:firstLine="620" w:firstLineChars="200"/>
        <w:jc w:val="left"/>
        <w:rPr>
          <w:rFonts w:hint="eastAsia" w:ascii="仿宋" w:hAnsi="仿宋" w:eastAsia="仿宋" w:cs="仿宋"/>
          <w:color w:val="000000"/>
          <w:kern w:val="0"/>
          <w:sz w:val="31"/>
          <w:szCs w:val="31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31"/>
          <w:szCs w:val="31"/>
          <w:lang w:val="en-US" w:eastAsia="zh-CN" w:bidi="ar"/>
        </w:rPr>
        <w:t>（一）为提升依法兴旅、依法治旅水平，需从规范决策与深化普法两方面同步推进：一方面进一步明确决策事项范围、责任主体、法定程序及对应法律责任，切实增强科学、民主、依法决策能力；另一方面围绕《旅游法》《旅行社条例》等核心法规，常态化开展学习宣传与定期考核，并组织 “送法进旅行社、进乡村旅游点、进旅游景点” 活动，全面加快旅游行业法治化进程。</w:t>
      </w:r>
    </w:p>
    <w:p w14:paraId="7740E833">
      <w:pPr>
        <w:keepNext w:val="0"/>
        <w:keepLines w:val="0"/>
        <w:widowControl/>
        <w:suppressLineNumbers w:val="0"/>
        <w:ind w:firstLine="620" w:firstLineChars="200"/>
        <w:jc w:val="left"/>
        <w:rPr>
          <w:rFonts w:hint="eastAsia" w:ascii="仿宋" w:hAnsi="仿宋" w:eastAsia="仿宋" w:cs="仿宋"/>
          <w:color w:val="000000"/>
          <w:kern w:val="0"/>
          <w:sz w:val="31"/>
          <w:szCs w:val="31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31"/>
          <w:szCs w:val="31"/>
          <w:lang w:val="en-US" w:eastAsia="zh-CN" w:bidi="ar"/>
        </w:rPr>
        <w:t>（二）为全面提升文化旅游广电行业法治化管理水平，需从示范引领、学用结合、基层治理三方面协同推进：严格落实行政部门领导班子集体学法制度，倡导并推广领导干部带头学法讲法；坚持将法制宣传教育与依法治旅实践深度融合，同时深化基层依法治理，深入开展以 “学法律、讲权利、讲义务、讲责任” 为核心的 “一学三讲” 法制宣传教育活动，引导行业主体依法行使权利、履行义务，自觉以法律规范自身行为。</w:t>
      </w:r>
    </w:p>
    <w:p w14:paraId="4060BB6D">
      <w:pPr>
        <w:pStyle w:val="2"/>
        <w:ind w:firstLine="720" w:firstLineChars="200"/>
        <w:rPr>
          <w:rFonts w:hint="eastAsia"/>
          <w:lang w:val="en-US" w:eastAsia="zh-CN"/>
        </w:rPr>
      </w:pPr>
    </w:p>
    <w:p w14:paraId="3F74B913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altName w:val="方正仿宋_GBK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altName w:val="方正仿宋_GBK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3DB173D"/>
    <w:multiLevelType w:val="singleLevel"/>
    <w:tmpl w:val="43DB173D"/>
    <w:lvl w:ilvl="0" w:tentative="0">
      <w:start w:val="3"/>
      <w:numFmt w:val="chineseCounting"/>
      <w:suff w:val="nothing"/>
      <w:lvlText w:val="%1、"/>
      <w:lvlJc w:val="left"/>
      <w:pPr>
        <w:ind w:left="-1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6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F5E6413"/>
    <w:rsid w:val="1F5E6413"/>
    <w:rsid w:val="76A74993"/>
    <w:rsid w:val="7EAB3385"/>
    <w:rsid w:val="7FFB727C"/>
    <w:rsid w:val="B9FBC8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1"/>
    <w:qFormat/>
    <w:uiPriority w:val="0"/>
    <w:pPr>
      <w:spacing w:after="120" w:afterLines="0" w:line="480" w:lineRule="auto"/>
    </w:pPr>
    <w:rPr>
      <w:rFonts w:ascii="仿宋_GB2312" w:eastAsia="仿宋_GB2312"/>
      <w:sz w:val="36"/>
    </w:rPr>
  </w:style>
  <w:style w:type="character" w:styleId="5">
    <w:name w:val="Strong"/>
    <w:basedOn w:val="4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1</Lines>
  <Paragraphs>1</Paragraphs>
  <TotalTime>14</TotalTime>
  <ScaleCrop>false</ScaleCrop>
  <LinksUpToDate>false</LinksUpToDate>
  <CharactersWithSpaces>0</CharactersWithSpaces>
  <Application>WPS Office_12.1.23141.23141_F1E327BC-269C-435d-A152-05C5408002CA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2024-10-18T02:22:00Z</dcterms:created>
  <dc:creator>灿灿</dc:creator>
  <cp:lastModifiedBy>灿灿</cp:lastModifiedBy>
  <dcterms:modified xsi:type="dcterms:W3CDTF">2025-10-28T14:10:45Z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2052-12.1.23141.23141</vt:lpwstr>
  </property>
  <property fmtid="{D5CDD505-2E9C-101B-9397-08002B2CF9AE}" pid="3" name="ICV">
    <vt:lpwstr>4AB5B75C1B0BF82F3AE2FA68268513E3_43</vt:lpwstr>
  </property>
</Properties>
</file>