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20792">
      <w:pPr>
        <w:spacing w:line="560" w:lineRule="exact"/>
        <w:jc w:val="center"/>
        <w:rPr>
          <w:rFonts w:hint="eastAsia" w:ascii="宋体" w:hAnsi="宋体" w:eastAsia="宋体" w:cs="宋体"/>
          <w:b/>
          <w:bCs/>
          <w:kern w:val="0"/>
          <w:sz w:val="44"/>
          <w:szCs w:val="44"/>
        </w:rPr>
      </w:pPr>
      <w:r>
        <w:rPr>
          <w:rFonts w:hint="eastAsia" w:ascii="宋体" w:hAnsi="宋体" w:eastAsia="宋体" w:cs="宋体"/>
          <w:b/>
          <w:bCs/>
          <w:kern w:val="0"/>
          <w:sz w:val="44"/>
          <w:szCs w:val="44"/>
        </w:rPr>
        <w:t>伊通满族自治县水利局关于2025年度</w:t>
      </w:r>
    </w:p>
    <w:p w14:paraId="59C0CAA0">
      <w:pPr>
        <w:spacing w:line="560" w:lineRule="exact"/>
        <w:jc w:val="center"/>
        <w:rPr>
          <w:rFonts w:hint="eastAsia" w:ascii="宋体" w:hAnsi="宋体" w:eastAsia="宋体" w:cs="宋体"/>
          <w:b/>
          <w:bCs/>
          <w:kern w:val="0"/>
          <w:sz w:val="44"/>
          <w:szCs w:val="44"/>
        </w:rPr>
      </w:pPr>
      <w:r>
        <w:rPr>
          <w:rFonts w:hint="eastAsia" w:ascii="宋体" w:hAnsi="宋体" w:eastAsia="宋体" w:cs="宋体"/>
          <w:b/>
          <w:bCs/>
          <w:kern w:val="0"/>
          <w:sz w:val="44"/>
          <w:szCs w:val="44"/>
        </w:rPr>
        <w:t>法治政府建设情况的报告</w:t>
      </w:r>
    </w:p>
    <w:p w14:paraId="37652D74">
      <w:pPr>
        <w:spacing w:after="100" w:afterAutospacing="1" w:line="560" w:lineRule="exact"/>
        <w:jc w:val="center"/>
        <w:rPr>
          <w:rFonts w:hint="eastAsia" w:ascii="方正小标宋简体" w:hAnsi="宋体" w:eastAsia="方正小标宋简体" w:cs="宋体"/>
          <w:kern w:val="0"/>
          <w:sz w:val="44"/>
          <w:szCs w:val="44"/>
        </w:rPr>
      </w:pPr>
    </w:p>
    <w:p w14:paraId="2698A063">
      <w:pPr>
        <w:widowControl/>
        <w:wordWrap/>
        <w:adjustRightInd/>
        <w:snapToGrid/>
        <w:spacing w:before="0" w:after="0" w:line="640" w:lineRule="exact"/>
        <w:ind w:left="0" w:leftChars="0" w:right="0"/>
        <w:jc w:val="both"/>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县委、县政府：</w:t>
      </w:r>
    </w:p>
    <w:p w14:paraId="6A463BA7">
      <w:pPr>
        <w:widowControl/>
        <w:shd w:val="clear" w:color="auto" w:fill="FFFFFF"/>
        <w:wordWrap/>
        <w:adjustRightInd/>
        <w:snapToGrid/>
        <w:spacing w:before="0" w:after="0" w:line="640" w:lineRule="exact"/>
        <w:ind w:left="0" w:leftChars="0" w:right="0" w:firstLine="640"/>
        <w:jc w:val="both"/>
        <w:textAlignment w:val="auto"/>
        <w:outlineLvl w:val="9"/>
        <w:rPr>
          <w:rFonts w:hint="eastAsia" w:ascii="Helvetica" w:hAnsi="Helvetica" w:eastAsia="宋体" w:cs="Helvetica"/>
          <w:color w:val="000000"/>
          <w:kern w:val="0"/>
          <w:sz w:val="24"/>
          <w:szCs w:val="24"/>
        </w:rPr>
      </w:pPr>
      <w:r>
        <w:rPr>
          <w:rFonts w:hint="eastAsia" w:ascii="仿宋" w:hAnsi="仿宋" w:eastAsia="仿宋" w:cs="Helvetica"/>
          <w:color w:val="000000"/>
          <w:kern w:val="0"/>
          <w:sz w:val="32"/>
          <w:szCs w:val="32"/>
          <w:lang w:val="en-US" w:eastAsia="zh-CN"/>
        </w:rPr>
        <w:t>2025</w:t>
      </w:r>
      <w:r>
        <w:rPr>
          <w:rFonts w:hint="eastAsia" w:ascii="仿宋" w:hAnsi="仿宋" w:eastAsia="仿宋" w:cs="Helvetica"/>
          <w:color w:val="000000"/>
          <w:kern w:val="0"/>
          <w:sz w:val="32"/>
          <w:szCs w:val="32"/>
        </w:rPr>
        <w:t>年，</w:t>
      </w:r>
      <w:r>
        <w:rPr>
          <w:rFonts w:hint="default" w:ascii="仿宋" w:hAnsi="仿宋" w:eastAsia="仿宋" w:cs="Helvetica"/>
          <w:color w:val="000000"/>
          <w:kern w:val="0"/>
          <w:sz w:val="32"/>
          <w:szCs w:val="32"/>
          <w:lang w:val="en-US" w:eastAsia="zh-CN"/>
        </w:rPr>
        <w:t>我局深入学习贯彻习近平法治思想和习近平总书记关于治水重要论述，全面落实县委、县政府法治建设部署要求，以“保障水安全、优化水生态、规范水治理”为目标，将法治思维贯穿水利工程建设、水资源管理、水行政执法全过程，为伊通水利高质量发展提供坚实法治保障。现将</w:t>
      </w:r>
      <w:r>
        <w:rPr>
          <w:rFonts w:hint="eastAsia" w:ascii="仿宋" w:hAnsi="仿宋" w:eastAsia="仿宋" w:cs="Helvetica"/>
          <w:color w:val="000000"/>
          <w:kern w:val="0"/>
          <w:sz w:val="32"/>
          <w:szCs w:val="32"/>
          <w:lang w:val="en-US" w:eastAsia="zh-CN"/>
        </w:rPr>
        <w:t>我局2025</w:t>
      </w:r>
      <w:r>
        <w:rPr>
          <w:rFonts w:hint="default" w:ascii="仿宋" w:hAnsi="仿宋" w:eastAsia="仿宋" w:cs="Helvetica"/>
          <w:color w:val="000000"/>
          <w:kern w:val="0"/>
          <w:sz w:val="32"/>
          <w:szCs w:val="32"/>
          <w:lang w:val="en-US" w:eastAsia="zh-CN"/>
        </w:rPr>
        <w:t>年度法治政府建设情况报告如下：</w:t>
      </w:r>
    </w:p>
    <w:p w14:paraId="2B0634E4">
      <w:pPr>
        <w:widowControl/>
        <w:wordWrap/>
        <w:adjustRightInd/>
        <w:snapToGrid/>
        <w:spacing w:before="0" w:after="0" w:line="640" w:lineRule="exact"/>
        <w:ind w:left="0" w:leftChars="0" w:right="0" w:firstLine="640" w:firstLineChars="200"/>
        <w:jc w:val="both"/>
        <w:textAlignment w:val="auto"/>
        <w:outlineLvl w:val="9"/>
        <w:rPr>
          <w:rFonts w:ascii="黑体" w:hAnsi="黑体" w:eastAsia="黑体" w:cs="宋体"/>
          <w:color w:val="000000"/>
          <w:kern w:val="0"/>
          <w:sz w:val="32"/>
          <w:szCs w:val="32"/>
        </w:rPr>
      </w:pPr>
      <w:r>
        <w:rPr>
          <w:rFonts w:hint="eastAsia" w:ascii="黑体" w:hAnsi="黑体" w:eastAsia="黑体" w:cs="黑体"/>
          <w:b w:val="0"/>
          <w:bCs w:val="0"/>
          <w:color w:val="000000"/>
          <w:kern w:val="0"/>
          <w:sz w:val="32"/>
          <w:szCs w:val="32"/>
        </w:rPr>
        <w:t>一、</w:t>
      </w:r>
      <w:r>
        <w:rPr>
          <w:rFonts w:hint="eastAsia" w:ascii="黑体" w:hAnsi="黑体" w:eastAsia="黑体" w:cs="黑体"/>
          <w:b w:val="0"/>
          <w:bCs w:val="0"/>
          <w:color w:val="000000"/>
          <w:sz w:val="32"/>
          <w:szCs w:val="32"/>
          <w:lang w:val="en-US" w:eastAsia="zh-CN"/>
        </w:rPr>
        <w:t>2025年法治政府建设基本情况</w:t>
      </w:r>
    </w:p>
    <w:p w14:paraId="0AD6A650">
      <w:pPr>
        <w:widowControl/>
        <w:shd w:val="clear" w:color="auto" w:fill="FFFFFF"/>
        <w:wordWrap/>
        <w:adjustRightInd/>
        <w:snapToGrid/>
        <w:spacing w:before="0" w:after="0" w:line="640" w:lineRule="exact"/>
        <w:ind w:left="0" w:leftChars="0" w:right="0" w:firstLine="640"/>
        <w:jc w:val="both"/>
        <w:textAlignment w:val="auto"/>
        <w:outlineLvl w:val="9"/>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（一）</w:t>
      </w:r>
      <w:r>
        <w:rPr>
          <w:rFonts w:hint="default" w:ascii="楷体" w:hAnsi="楷体" w:eastAsia="楷体" w:cs="楷体"/>
          <w:color w:val="000000"/>
          <w:kern w:val="0"/>
          <w:sz w:val="32"/>
          <w:szCs w:val="32"/>
        </w:rPr>
        <w:t>行政执法规范化推进情况</w:t>
      </w:r>
    </w:p>
    <w:p w14:paraId="362B2747">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1.</w:t>
      </w:r>
      <w:r>
        <w:rPr>
          <w:rFonts w:hint="default" w:ascii="仿宋" w:hAnsi="仿宋" w:eastAsia="仿宋" w:cs="Helvetica"/>
          <w:color w:val="000000"/>
          <w:kern w:val="0"/>
          <w:sz w:val="32"/>
          <w:szCs w:val="32"/>
          <w:lang w:val="en-US" w:eastAsia="zh-CN"/>
        </w:rPr>
        <w:t>健全执法制度体系：</w:t>
      </w:r>
      <w:r>
        <w:rPr>
          <w:rFonts w:hint="eastAsia" w:ascii="仿宋" w:hAnsi="仿宋" w:eastAsia="仿宋" w:cs="Helvetica"/>
          <w:color w:val="000000"/>
          <w:kern w:val="0"/>
          <w:sz w:val="32"/>
          <w:szCs w:val="32"/>
        </w:rPr>
        <w:t>为使机关各项工作公开化、法制化、规范化、制度化，进一步提高行政效能，我局建立健全相关制度，规范行政决策行为，用制度实现对行政权力的制约。</w:t>
      </w:r>
      <w:r>
        <w:rPr>
          <w:rFonts w:hint="default" w:ascii="仿宋" w:hAnsi="仿宋" w:eastAsia="仿宋" w:cs="Helvetica"/>
          <w:color w:val="000000"/>
          <w:kern w:val="0"/>
          <w:sz w:val="32"/>
          <w:szCs w:val="32"/>
          <w:lang w:val="en-US" w:eastAsia="zh-CN"/>
        </w:rPr>
        <w:t>围绕涉企执法规范、执法行为整治等关键环节，制定</w:t>
      </w:r>
      <w:r>
        <w:rPr>
          <w:rFonts w:hint="eastAsia" w:ascii="仿宋" w:hAnsi="仿宋" w:eastAsia="仿宋" w:cs="Helvetica"/>
          <w:color w:val="000000"/>
          <w:kern w:val="0"/>
          <w:sz w:val="32"/>
          <w:szCs w:val="32"/>
          <w:lang w:val="en-US" w:eastAsia="zh-CN"/>
        </w:rPr>
        <w:t>了</w:t>
      </w:r>
      <w:r>
        <w:rPr>
          <w:rFonts w:hint="default" w:ascii="仿宋" w:hAnsi="仿宋" w:eastAsia="仿宋" w:cs="Helvetica"/>
          <w:color w:val="000000"/>
          <w:kern w:val="0"/>
          <w:sz w:val="32"/>
          <w:szCs w:val="32"/>
          <w:lang w:val="en-US" w:eastAsia="zh-CN"/>
        </w:rPr>
        <w:t>《伊通满族自治县水利局涉企执法领域规范制度》《伊通满族自治县水利局关于整治“6 种执法行为”制度》《水行政检查责任追究与尽职免责制度》3 项核心制度，从制度层面杜绝“随意执法、选择性执法”，确保执法全过程可追溯、可监督。</w:t>
      </w:r>
    </w:p>
    <w:p w14:paraId="2CA41A18">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2.</w:t>
      </w:r>
      <w:r>
        <w:rPr>
          <w:rFonts w:hint="default" w:ascii="仿宋" w:hAnsi="仿宋" w:eastAsia="仿宋" w:cs="Helvetica"/>
          <w:color w:val="000000"/>
          <w:kern w:val="0"/>
          <w:sz w:val="32"/>
          <w:szCs w:val="32"/>
          <w:lang w:val="en-US" w:eastAsia="zh-CN"/>
        </w:rPr>
        <w:t>强化日常执法检查：聚焦河道管理、水资源保护、水利工程监管等重点领域，全年依法开展水政执法检查</w:t>
      </w:r>
      <w:r>
        <w:rPr>
          <w:rFonts w:hint="eastAsia" w:ascii="仿宋" w:hAnsi="仿宋" w:eastAsia="仿宋" w:cs="Helvetica"/>
          <w:color w:val="000000"/>
          <w:kern w:val="0"/>
          <w:sz w:val="32"/>
          <w:szCs w:val="32"/>
          <w:lang w:val="en-US" w:eastAsia="zh-CN"/>
        </w:rPr>
        <w:t>23</w:t>
      </w:r>
      <w:r>
        <w:rPr>
          <w:rFonts w:hint="default" w:ascii="仿宋" w:hAnsi="仿宋" w:eastAsia="仿宋" w:cs="Helvetica"/>
          <w:color w:val="000000"/>
          <w:kern w:val="0"/>
          <w:sz w:val="32"/>
          <w:szCs w:val="32"/>
          <w:lang w:val="en-US" w:eastAsia="zh-CN"/>
        </w:rPr>
        <w:t>次，覆盖县域内主要河流、水库、取</w:t>
      </w:r>
      <w:r>
        <w:rPr>
          <w:rFonts w:hint="eastAsia" w:ascii="仿宋" w:hAnsi="仿宋" w:eastAsia="仿宋" w:cs="Helvetica"/>
          <w:color w:val="000000"/>
          <w:kern w:val="0"/>
          <w:sz w:val="32"/>
          <w:szCs w:val="32"/>
          <w:lang w:val="en-US" w:eastAsia="zh-CN"/>
        </w:rPr>
        <w:t>用</w:t>
      </w:r>
      <w:r>
        <w:rPr>
          <w:rFonts w:hint="default" w:ascii="仿宋" w:hAnsi="仿宋" w:eastAsia="仿宋" w:cs="Helvetica"/>
          <w:color w:val="000000"/>
          <w:kern w:val="0"/>
          <w:sz w:val="32"/>
          <w:szCs w:val="32"/>
          <w:lang w:val="en-US" w:eastAsia="zh-CN"/>
        </w:rPr>
        <w:t>水企业及在建水利项目。</w:t>
      </w:r>
    </w:p>
    <w:p w14:paraId="21E42982">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3.</w:t>
      </w:r>
      <w:r>
        <w:rPr>
          <w:rFonts w:hint="default" w:ascii="仿宋" w:hAnsi="仿宋" w:eastAsia="仿宋" w:cs="Helvetica"/>
          <w:color w:val="000000"/>
          <w:kern w:val="0"/>
          <w:sz w:val="32"/>
          <w:szCs w:val="32"/>
          <w:lang w:val="en-US" w:eastAsia="zh-CN"/>
        </w:rPr>
        <w:t>规范“双随机、一公开”监管：建立执法检查对象名录库，通过随机抽取、系统匹配确定检查任务，全年开展“双随机”检查，检查结果均在政务服务网</w:t>
      </w:r>
      <w:r>
        <w:rPr>
          <w:rFonts w:hint="eastAsia" w:ascii="仿宋" w:hAnsi="仿宋" w:eastAsia="仿宋" w:cs="Helvetica"/>
          <w:color w:val="000000"/>
          <w:kern w:val="0"/>
          <w:sz w:val="32"/>
          <w:szCs w:val="32"/>
          <w:lang w:val="en-US" w:eastAsia="zh-CN"/>
        </w:rPr>
        <w:t>站上</w:t>
      </w:r>
      <w:r>
        <w:rPr>
          <w:rFonts w:hint="default" w:ascii="仿宋" w:hAnsi="仿宋" w:eastAsia="仿宋" w:cs="Helvetica"/>
          <w:color w:val="000000"/>
          <w:kern w:val="0"/>
          <w:sz w:val="32"/>
          <w:szCs w:val="32"/>
          <w:lang w:val="en-US" w:eastAsia="zh-CN"/>
        </w:rPr>
        <w:t>公示，有效保障执法公平性与透明度</w:t>
      </w:r>
      <w:r>
        <w:rPr>
          <w:rFonts w:hint="eastAsia" w:ascii="仿宋" w:hAnsi="仿宋" w:eastAsia="仿宋" w:cs="Helvetica"/>
          <w:color w:val="000000"/>
          <w:kern w:val="0"/>
          <w:sz w:val="32"/>
          <w:szCs w:val="32"/>
          <w:lang w:val="en-US" w:eastAsia="zh-CN"/>
        </w:rPr>
        <w:t>，</w:t>
      </w:r>
      <w:r>
        <w:rPr>
          <w:rFonts w:hint="default" w:ascii="仿宋" w:hAnsi="仿宋" w:eastAsia="仿宋" w:cs="Helvetica"/>
          <w:color w:val="000000"/>
          <w:kern w:val="0"/>
          <w:sz w:val="32"/>
          <w:szCs w:val="32"/>
          <w:lang w:val="en-US" w:eastAsia="zh-CN"/>
        </w:rPr>
        <w:t>确保了执法对象的随机性和执法过程的公正性。</w:t>
      </w:r>
    </w:p>
    <w:p w14:paraId="01298D4A">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rPr>
      </w:pPr>
      <w:r>
        <w:rPr>
          <w:rFonts w:hint="eastAsia" w:ascii="楷体" w:hAnsi="楷体" w:eastAsia="楷体" w:cs="楷体"/>
          <w:color w:val="000000"/>
          <w:kern w:val="0"/>
          <w:sz w:val="32"/>
          <w:szCs w:val="32"/>
        </w:rPr>
        <w:t>（二）</w:t>
      </w:r>
      <w:r>
        <w:rPr>
          <w:rFonts w:hint="default" w:ascii="楷体" w:hAnsi="楷体" w:eastAsia="楷体" w:cs="楷体"/>
          <w:color w:val="000000"/>
          <w:kern w:val="0"/>
          <w:sz w:val="32"/>
          <w:szCs w:val="32"/>
        </w:rPr>
        <w:t>强化执法监管，提升依法行政效能​</w:t>
      </w:r>
      <w:r>
        <w:rPr>
          <w:rFonts w:hint="default" w:ascii="仿宋" w:hAnsi="仿宋" w:eastAsia="仿宋" w:cs="Helvetica"/>
          <w:color w:val="000000"/>
          <w:kern w:val="0"/>
          <w:sz w:val="32"/>
          <w:szCs w:val="32"/>
        </w:rPr>
        <w:t>​</w:t>
      </w:r>
    </w:p>
    <w:p w14:paraId="7D1FF97F">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深化专项执法整治。开展河道采砂常态化巡查，全年出动执法人员</w:t>
      </w:r>
      <w:r>
        <w:rPr>
          <w:rFonts w:hint="eastAsia" w:ascii="仿宋" w:hAnsi="仿宋" w:eastAsia="仿宋" w:cs="Helvetica"/>
          <w:color w:val="000000"/>
          <w:kern w:val="0"/>
          <w:sz w:val="32"/>
          <w:szCs w:val="32"/>
          <w:lang w:val="en-US" w:eastAsia="zh-CN"/>
        </w:rPr>
        <w:t>708</w:t>
      </w:r>
      <w:r>
        <w:rPr>
          <w:rFonts w:hint="default" w:ascii="仿宋" w:hAnsi="仿宋" w:eastAsia="仿宋" w:cs="Helvetica"/>
          <w:color w:val="000000"/>
          <w:kern w:val="0"/>
          <w:sz w:val="32"/>
          <w:szCs w:val="32"/>
        </w:rPr>
        <w:t>人次、执法</w:t>
      </w:r>
      <w:r>
        <w:rPr>
          <w:rFonts w:hint="eastAsia" w:ascii="仿宋" w:hAnsi="仿宋" w:eastAsia="仿宋" w:cs="Helvetica"/>
          <w:color w:val="000000"/>
          <w:kern w:val="0"/>
          <w:sz w:val="32"/>
          <w:szCs w:val="32"/>
          <w:lang w:eastAsia="zh-CN"/>
        </w:rPr>
        <w:t>车辆</w:t>
      </w:r>
      <w:r>
        <w:rPr>
          <w:rFonts w:hint="eastAsia" w:ascii="仿宋" w:hAnsi="仿宋" w:eastAsia="仿宋" w:cs="Helvetica"/>
          <w:color w:val="000000"/>
          <w:kern w:val="0"/>
          <w:sz w:val="32"/>
          <w:szCs w:val="32"/>
          <w:lang w:val="en-US" w:eastAsia="zh-CN"/>
        </w:rPr>
        <w:t>177车</w:t>
      </w:r>
      <w:r>
        <w:rPr>
          <w:rFonts w:hint="default" w:ascii="仿宋" w:hAnsi="仿宋" w:eastAsia="仿宋" w:cs="Helvetica"/>
          <w:color w:val="000000"/>
          <w:kern w:val="0"/>
          <w:sz w:val="32"/>
          <w:szCs w:val="32"/>
        </w:rPr>
        <w:t>次，巡查</w:t>
      </w:r>
      <w:r>
        <w:rPr>
          <w:rFonts w:hint="eastAsia" w:ascii="仿宋" w:hAnsi="仿宋" w:eastAsia="仿宋" w:cs="Helvetica"/>
          <w:color w:val="000000"/>
          <w:kern w:val="0"/>
          <w:sz w:val="32"/>
          <w:szCs w:val="32"/>
          <w:lang w:eastAsia="zh-CN"/>
        </w:rPr>
        <w:t>河湖库长度</w:t>
      </w:r>
      <w:r>
        <w:rPr>
          <w:rFonts w:hint="eastAsia" w:ascii="仿宋" w:hAnsi="仿宋" w:eastAsia="仿宋" w:cs="Helvetica"/>
          <w:color w:val="000000"/>
          <w:kern w:val="0"/>
          <w:sz w:val="32"/>
          <w:szCs w:val="32"/>
          <w:lang w:val="en-US" w:eastAsia="zh-CN"/>
        </w:rPr>
        <w:t>0.66</w:t>
      </w:r>
      <w:r>
        <w:rPr>
          <w:rFonts w:hint="default" w:ascii="仿宋" w:hAnsi="仿宋" w:eastAsia="仿宋" w:cs="Helvetica"/>
          <w:color w:val="000000"/>
          <w:kern w:val="0"/>
          <w:sz w:val="32"/>
          <w:szCs w:val="32"/>
        </w:rPr>
        <w:t>万公里，查处非法采砂案件</w:t>
      </w:r>
      <w:r>
        <w:rPr>
          <w:rFonts w:hint="eastAsia" w:ascii="仿宋" w:hAnsi="仿宋" w:eastAsia="仿宋" w:cs="Helvetica"/>
          <w:color w:val="000000"/>
          <w:kern w:val="0"/>
          <w:sz w:val="32"/>
          <w:szCs w:val="32"/>
          <w:lang w:val="en-US" w:eastAsia="zh-CN"/>
        </w:rPr>
        <w:t>4</w:t>
      </w:r>
      <w:r>
        <w:rPr>
          <w:rFonts w:hint="default" w:ascii="仿宋" w:hAnsi="仿宋" w:eastAsia="仿宋" w:cs="Helvetica"/>
          <w:color w:val="000000"/>
          <w:kern w:val="0"/>
          <w:sz w:val="32"/>
          <w:szCs w:val="32"/>
        </w:rPr>
        <w:t>起，没收违法所得</w:t>
      </w:r>
      <w:r>
        <w:rPr>
          <w:rFonts w:hint="eastAsia" w:ascii="仿宋" w:hAnsi="仿宋" w:eastAsia="仿宋" w:cs="Helvetica"/>
          <w:color w:val="000000"/>
          <w:kern w:val="0"/>
          <w:sz w:val="32"/>
          <w:szCs w:val="32"/>
          <w:lang w:val="en-US" w:eastAsia="zh-CN"/>
        </w:rPr>
        <w:t>0.8</w:t>
      </w:r>
      <w:r>
        <w:rPr>
          <w:rFonts w:hint="default" w:ascii="仿宋" w:hAnsi="仿宋" w:eastAsia="仿宋" w:cs="Helvetica"/>
          <w:color w:val="000000"/>
          <w:kern w:val="0"/>
          <w:sz w:val="32"/>
          <w:szCs w:val="32"/>
        </w:rPr>
        <w:t xml:space="preserve">万元，罚款 </w:t>
      </w:r>
      <w:r>
        <w:rPr>
          <w:rFonts w:hint="eastAsia" w:ascii="仿宋" w:hAnsi="仿宋" w:eastAsia="仿宋" w:cs="Helvetica"/>
          <w:color w:val="000000"/>
          <w:kern w:val="0"/>
          <w:sz w:val="32"/>
          <w:szCs w:val="32"/>
          <w:lang w:val="en-US" w:eastAsia="zh-CN"/>
        </w:rPr>
        <w:t>2.434</w:t>
      </w:r>
      <w:r>
        <w:rPr>
          <w:rFonts w:hint="default" w:ascii="仿宋" w:hAnsi="仿宋" w:eastAsia="仿宋" w:cs="Helvetica"/>
          <w:color w:val="000000"/>
          <w:kern w:val="0"/>
          <w:sz w:val="32"/>
          <w:szCs w:val="32"/>
        </w:rPr>
        <w:t>万元，形成有力震慑。同时加强水资源监管，对取用地下水问题进行多次检查，</w:t>
      </w:r>
      <w:r>
        <w:rPr>
          <w:rFonts w:hint="eastAsia" w:ascii="仿宋" w:hAnsi="仿宋" w:eastAsia="仿宋" w:cs="Helvetica"/>
          <w:color w:val="000000"/>
          <w:kern w:val="0"/>
          <w:sz w:val="32"/>
          <w:szCs w:val="32"/>
          <w:lang w:eastAsia="zh-CN"/>
        </w:rPr>
        <w:t>未</w:t>
      </w:r>
      <w:r>
        <w:rPr>
          <w:rFonts w:hint="default" w:ascii="仿宋" w:hAnsi="仿宋" w:eastAsia="仿宋" w:cs="Helvetica"/>
          <w:color w:val="000000"/>
          <w:kern w:val="0"/>
          <w:sz w:val="32"/>
          <w:szCs w:val="32"/>
        </w:rPr>
        <w:t>发现超采问题。全年办理行政</w:t>
      </w:r>
      <w:r>
        <w:rPr>
          <w:rFonts w:hint="eastAsia" w:ascii="仿宋" w:hAnsi="仿宋" w:eastAsia="仿宋" w:cs="Helvetica"/>
          <w:color w:val="000000"/>
          <w:kern w:val="0"/>
          <w:sz w:val="32"/>
          <w:szCs w:val="32"/>
          <w:lang w:eastAsia="zh-CN"/>
        </w:rPr>
        <w:t>执法</w:t>
      </w:r>
      <w:r>
        <w:rPr>
          <w:rFonts w:hint="default" w:ascii="仿宋" w:hAnsi="仿宋" w:eastAsia="仿宋" w:cs="Helvetica"/>
          <w:color w:val="000000"/>
          <w:kern w:val="0"/>
          <w:sz w:val="32"/>
          <w:szCs w:val="32"/>
        </w:rPr>
        <w:t>案件</w:t>
      </w:r>
      <w:r>
        <w:rPr>
          <w:rFonts w:hint="eastAsia" w:ascii="仿宋" w:hAnsi="仿宋" w:eastAsia="仿宋" w:cs="Helvetica"/>
          <w:color w:val="000000"/>
          <w:kern w:val="0"/>
          <w:sz w:val="32"/>
          <w:szCs w:val="32"/>
          <w:lang w:val="en-US" w:eastAsia="zh-CN"/>
        </w:rPr>
        <w:t>4</w:t>
      </w:r>
      <w:r>
        <w:rPr>
          <w:rFonts w:hint="default" w:ascii="仿宋" w:hAnsi="仿宋" w:eastAsia="仿宋" w:cs="Helvetica"/>
          <w:color w:val="000000"/>
          <w:kern w:val="0"/>
          <w:sz w:val="32"/>
          <w:szCs w:val="32"/>
        </w:rPr>
        <w:t>件，均通过局法制科</w:t>
      </w:r>
      <w:r>
        <w:rPr>
          <w:rFonts w:hint="eastAsia" w:ascii="仿宋" w:hAnsi="仿宋" w:eastAsia="仿宋" w:cs="Helvetica"/>
          <w:color w:val="000000"/>
          <w:kern w:val="0"/>
          <w:sz w:val="32"/>
          <w:szCs w:val="32"/>
          <w:lang w:eastAsia="zh-CN"/>
        </w:rPr>
        <w:t>进行</w:t>
      </w:r>
      <w:bookmarkStart w:id="0" w:name="_Toc389228209"/>
      <w:bookmarkEnd w:id="0"/>
      <w:bookmarkStart w:id="1" w:name="_Toc389209346"/>
      <w:bookmarkEnd w:id="1"/>
      <w:bookmarkStart w:id="2" w:name="_Toc389224465"/>
      <w:bookmarkEnd w:id="2"/>
      <w:bookmarkStart w:id="3" w:name="7894448-8168543-3_2"/>
      <w:bookmarkEnd w:id="3"/>
      <w:r>
        <w:rPr>
          <w:rFonts w:hint="eastAsia" w:ascii="仿宋" w:hAnsi="仿宋" w:eastAsia="仿宋" w:cs="Helvetica"/>
          <w:color w:val="000000"/>
          <w:kern w:val="0"/>
          <w:sz w:val="32"/>
          <w:szCs w:val="32"/>
          <w:lang w:eastAsia="zh-CN"/>
        </w:rPr>
        <w:t>合法性审查，出具</w:t>
      </w:r>
      <w:r>
        <w:rPr>
          <w:rFonts w:hint="eastAsia" w:ascii="仿宋" w:hAnsi="仿宋" w:eastAsia="仿宋" w:cs="Helvetica"/>
          <w:color w:val="000000"/>
          <w:kern w:val="0"/>
          <w:sz w:val="32"/>
          <w:szCs w:val="32"/>
        </w:rPr>
        <w:t>重大行政执法决定法制审核意见书</w:t>
      </w:r>
      <w:r>
        <w:rPr>
          <w:rFonts w:hint="eastAsia" w:ascii="仿宋" w:hAnsi="仿宋" w:eastAsia="仿宋" w:cs="Helvetica"/>
          <w:color w:val="000000"/>
          <w:kern w:val="0"/>
          <w:sz w:val="32"/>
          <w:szCs w:val="32"/>
          <w:lang w:eastAsia="zh-CN"/>
        </w:rPr>
        <w:t>，确保</w:t>
      </w:r>
      <w:r>
        <w:rPr>
          <w:rFonts w:hint="default" w:ascii="仿宋" w:hAnsi="仿宋" w:eastAsia="仿宋" w:cs="Helvetica"/>
          <w:color w:val="000000"/>
          <w:kern w:val="0"/>
          <w:sz w:val="32"/>
          <w:szCs w:val="32"/>
        </w:rPr>
        <w:t>办案准确率</w:t>
      </w:r>
      <w:r>
        <w:rPr>
          <w:rFonts w:hint="eastAsia" w:ascii="仿宋" w:hAnsi="仿宋" w:eastAsia="仿宋" w:cs="Helvetica"/>
          <w:color w:val="000000"/>
          <w:kern w:val="0"/>
          <w:sz w:val="32"/>
          <w:szCs w:val="32"/>
          <w:lang w:eastAsia="zh-CN"/>
        </w:rPr>
        <w:t>。</w:t>
      </w:r>
    </w:p>
    <w:p w14:paraId="5C491E1D">
      <w:pPr>
        <w:widowControl/>
        <w:numPr>
          <w:ilvl w:val="0"/>
          <w:numId w:val="1"/>
        </w:numPr>
        <w:shd w:val="clear" w:color="auto" w:fill="FFFFFF"/>
        <w:wordWrap/>
        <w:adjustRightInd/>
        <w:snapToGrid/>
        <w:spacing w:before="0" w:after="0" w:line="640" w:lineRule="exact"/>
        <w:ind w:left="0" w:leftChars="0" w:right="0" w:firstLine="640"/>
        <w:jc w:val="both"/>
        <w:textAlignment w:val="auto"/>
        <w:outlineLvl w:val="9"/>
        <w:rPr>
          <w:rFonts w:hint="default" w:ascii="楷体" w:hAnsi="楷体" w:eastAsia="楷体" w:cs="楷体"/>
          <w:color w:val="000000"/>
          <w:kern w:val="0"/>
          <w:sz w:val="32"/>
          <w:szCs w:val="32"/>
        </w:rPr>
      </w:pPr>
      <w:r>
        <w:rPr>
          <w:rFonts w:hint="default" w:ascii="楷体" w:hAnsi="楷体" w:eastAsia="楷体" w:cs="楷体"/>
          <w:color w:val="000000"/>
          <w:kern w:val="0"/>
          <w:sz w:val="32"/>
          <w:szCs w:val="32"/>
        </w:rPr>
        <w:t>优化政务服务，推进法治营商环境建设</w:t>
      </w:r>
    </w:p>
    <w:p w14:paraId="3337093F">
      <w:pPr>
        <w:widowControl/>
        <w:numPr>
          <w:ilvl w:val="0"/>
          <w:numId w:val="0"/>
        </w:numPr>
        <w:shd w:val="clear" w:color="auto" w:fill="FFFFFF"/>
        <w:wordWrap/>
        <w:adjustRightInd/>
        <w:snapToGrid/>
        <w:spacing w:before="0" w:after="0" w:line="640" w:lineRule="exact"/>
        <w:ind w:left="0" w:leftChars="0" w:right="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 xml:space="preserve">    </w:t>
      </w:r>
      <w:r>
        <w:rPr>
          <w:rFonts w:hint="default" w:ascii="仿宋" w:hAnsi="仿宋" w:eastAsia="仿宋" w:cs="Helvetica"/>
          <w:color w:val="000000"/>
          <w:kern w:val="0"/>
          <w:sz w:val="32"/>
          <w:szCs w:val="32"/>
          <w:lang w:val="en-US" w:eastAsia="zh-CN"/>
        </w:rPr>
        <w:t>进一步梳理水利领域“一件事一次办”事项清单，</w:t>
      </w:r>
      <w:r>
        <w:rPr>
          <w:rFonts w:hint="eastAsia" w:ascii="仿宋" w:hAnsi="仿宋" w:eastAsia="仿宋" w:cs="Helvetica"/>
          <w:color w:val="000000"/>
          <w:kern w:val="0"/>
          <w:sz w:val="32"/>
          <w:szCs w:val="32"/>
          <w:lang w:val="en-US" w:eastAsia="zh-CN"/>
        </w:rPr>
        <w:t>压缩审批时限</w:t>
      </w:r>
      <w:r>
        <w:rPr>
          <w:rFonts w:hint="default" w:ascii="仿宋" w:hAnsi="仿宋" w:eastAsia="仿宋" w:cs="Helvetica"/>
          <w:color w:val="000000"/>
          <w:kern w:val="0"/>
          <w:sz w:val="32"/>
          <w:szCs w:val="32"/>
          <w:lang w:val="en-US" w:eastAsia="zh-CN"/>
        </w:rPr>
        <w:t>；对新办取水许可、水利工程审批的企业开展满意度调查，全年满意度达100%。通过优化政务服务，为企业提供了更加便捷、高效的服务，营造了良好的法治营商环境。</w:t>
      </w:r>
    </w:p>
    <w:p w14:paraId="3E1790CB">
      <w:pPr>
        <w:widowControl/>
        <w:shd w:val="clear" w:color="auto" w:fill="FFFFFF"/>
        <w:wordWrap/>
        <w:adjustRightInd/>
        <w:snapToGrid/>
        <w:spacing w:before="0" w:after="0" w:line="640" w:lineRule="exact"/>
        <w:ind w:left="0" w:leftChars="0" w:right="0" w:firstLine="640"/>
        <w:jc w:val="both"/>
        <w:textAlignment w:val="auto"/>
        <w:outlineLvl w:val="9"/>
        <w:rPr>
          <w:rFonts w:hint="default" w:ascii="楷体" w:hAnsi="楷体" w:eastAsia="楷体" w:cs="楷体"/>
          <w:color w:val="000000"/>
          <w:kern w:val="0"/>
          <w:sz w:val="32"/>
          <w:szCs w:val="32"/>
          <w:lang w:eastAsia="zh-CN"/>
        </w:rPr>
      </w:pPr>
      <w:r>
        <w:rPr>
          <w:rFonts w:hint="eastAsia" w:ascii="仿宋" w:hAnsi="仿宋" w:eastAsia="仿宋" w:cs="Helvetica"/>
          <w:color w:val="000000"/>
          <w:kern w:val="0"/>
          <w:sz w:val="32"/>
          <w:szCs w:val="32"/>
          <w:lang w:val="en-US" w:eastAsia="zh-CN"/>
        </w:rPr>
        <w:t>（</w:t>
      </w:r>
      <w:r>
        <w:rPr>
          <w:rFonts w:hint="eastAsia" w:ascii="楷体" w:hAnsi="楷体" w:eastAsia="楷体" w:cs="楷体"/>
          <w:color w:val="000000"/>
          <w:kern w:val="0"/>
          <w:sz w:val="32"/>
          <w:szCs w:val="32"/>
          <w:lang w:eastAsia="zh-CN"/>
        </w:rPr>
        <w:t>四）</w:t>
      </w:r>
      <w:r>
        <w:rPr>
          <w:rFonts w:hint="default" w:ascii="楷体" w:hAnsi="楷体" w:eastAsia="楷体" w:cs="楷体"/>
          <w:color w:val="000000"/>
          <w:kern w:val="0"/>
          <w:sz w:val="32"/>
          <w:szCs w:val="32"/>
          <w:lang w:eastAsia="zh-CN"/>
        </w:rPr>
        <w:t>深化普法宣传，筑牢法治社会根基​</w:t>
      </w:r>
    </w:p>
    <w:p w14:paraId="474568E8">
      <w:pPr>
        <w:widowControl/>
        <w:numPr>
          <w:ilvl w:val="0"/>
          <w:numId w:val="0"/>
        </w:numPr>
        <w:shd w:val="clear" w:color="auto" w:fill="FFFFFF"/>
        <w:wordWrap/>
        <w:adjustRightInd/>
        <w:snapToGrid/>
        <w:spacing w:before="0" w:after="0" w:line="640" w:lineRule="exact"/>
        <w:ind w:left="0" w:leftChars="0" w:right="0" w:firstLine="640" w:firstLineChars="20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1.</w:t>
      </w:r>
      <w:r>
        <w:rPr>
          <w:rFonts w:hint="default" w:ascii="仿宋" w:hAnsi="仿宋" w:eastAsia="仿宋" w:cs="Helvetica"/>
          <w:color w:val="000000"/>
          <w:kern w:val="0"/>
          <w:sz w:val="32"/>
          <w:szCs w:val="32"/>
          <w:lang w:val="en-US" w:eastAsia="zh-CN"/>
        </w:rPr>
        <w:t>聚焦节点开展主题宣传：结合“世界水日”“中国水周”“宪法宣传周”等重要节点，开展集中宣传活动，摆放水利法规展板</w:t>
      </w:r>
      <w:r>
        <w:rPr>
          <w:rFonts w:hint="eastAsia" w:ascii="仿宋" w:hAnsi="仿宋" w:eastAsia="仿宋" w:cs="Helvetica"/>
          <w:color w:val="000000"/>
          <w:kern w:val="0"/>
          <w:sz w:val="32"/>
          <w:szCs w:val="32"/>
          <w:lang w:val="en-US" w:eastAsia="zh-CN"/>
        </w:rPr>
        <w:t>5</w:t>
      </w:r>
      <w:r>
        <w:rPr>
          <w:rFonts w:hint="default" w:ascii="仿宋" w:hAnsi="仿宋" w:eastAsia="仿宋" w:cs="Helvetica"/>
          <w:color w:val="000000"/>
          <w:kern w:val="0"/>
          <w:sz w:val="32"/>
          <w:szCs w:val="32"/>
          <w:lang w:val="en-US" w:eastAsia="zh-CN"/>
        </w:rPr>
        <w:t>块，发放《水法》《防洪法》《吉林省河道管理条例》等宣传手册2000余份，</w:t>
      </w:r>
      <w:r>
        <w:rPr>
          <w:rFonts w:hint="eastAsia" w:ascii="仿宋" w:hAnsi="仿宋" w:eastAsia="仿宋" w:cs="Helvetica"/>
          <w:color w:val="000000"/>
          <w:kern w:val="0"/>
          <w:sz w:val="32"/>
          <w:szCs w:val="32"/>
          <w:lang w:val="en-US" w:eastAsia="zh-CN"/>
        </w:rPr>
        <w:t>进一步增强广大干部群众的水法规意识，有效</w:t>
      </w:r>
      <w:r>
        <w:rPr>
          <w:rFonts w:hint="default" w:ascii="仿宋" w:hAnsi="仿宋" w:eastAsia="仿宋" w:cs="Helvetica"/>
          <w:color w:val="000000"/>
          <w:kern w:val="0"/>
          <w:sz w:val="32"/>
          <w:szCs w:val="32"/>
          <w:lang w:val="en-US" w:eastAsia="zh-CN"/>
        </w:rPr>
        <w:t>提升</w:t>
      </w:r>
      <w:r>
        <w:rPr>
          <w:rFonts w:hint="eastAsia" w:ascii="仿宋" w:hAnsi="仿宋" w:eastAsia="仿宋" w:cs="Helvetica"/>
          <w:color w:val="000000"/>
          <w:kern w:val="0"/>
          <w:sz w:val="32"/>
          <w:szCs w:val="32"/>
          <w:lang w:val="en-US" w:eastAsia="zh-CN"/>
        </w:rPr>
        <w:t>了</w:t>
      </w:r>
      <w:r>
        <w:rPr>
          <w:rFonts w:hint="default" w:ascii="仿宋" w:hAnsi="仿宋" w:eastAsia="仿宋" w:cs="Helvetica"/>
          <w:color w:val="000000"/>
          <w:kern w:val="0"/>
          <w:sz w:val="32"/>
          <w:szCs w:val="32"/>
          <w:lang w:val="en-US" w:eastAsia="zh-CN"/>
        </w:rPr>
        <w:t>水法治意识。</w:t>
      </w:r>
    </w:p>
    <w:p w14:paraId="4470F735">
      <w:pPr>
        <w:widowControl/>
        <w:numPr>
          <w:ilvl w:val="0"/>
          <w:numId w:val="0"/>
        </w:numPr>
        <w:wordWrap/>
        <w:adjustRightInd/>
        <w:snapToGrid/>
        <w:spacing w:before="0" w:after="0" w:line="640" w:lineRule="exact"/>
        <w:ind w:left="0" w:leftChars="0" w:right="0" w:firstLine="640" w:firstLineChars="200"/>
        <w:jc w:val="both"/>
        <w:textAlignment w:val="auto"/>
        <w:outlineLvl w:val="9"/>
        <w:rPr>
          <w:rFonts w:hint="default" w:ascii="仿宋" w:hAnsi="仿宋" w:eastAsia="仿宋" w:cs="Helvetica"/>
          <w:color w:val="000000"/>
          <w:kern w:val="0"/>
          <w:sz w:val="32"/>
          <w:szCs w:val="32"/>
        </w:rPr>
      </w:pPr>
      <w:r>
        <w:rPr>
          <w:rFonts w:hint="eastAsia" w:ascii="黑体" w:hAnsi="黑体" w:eastAsia="黑体" w:cs="宋体"/>
          <w:color w:val="000000"/>
          <w:kern w:val="0"/>
          <w:sz w:val="32"/>
          <w:szCs w:val="32"/>
          <w:lang w:eastAsia="zh-CN"/>
        </w:rPr>
        <w:t>二、</w:t>
      </w:r>
      <w:r>
        <w:rPr>
          <w:rFonts w:hint="eastAsia" w:ascii="黑体" w:hAnsi="黑体" w:eastAsia="黑体" w:cs="宋体"/>
          <w:color w:val="000000"/>
          <w:kern w:val="0"/>
          <w:sz w:val="32"/>
          <w:szCs w:val="32"/>
        </w:rPr>
        <w:t>存在的</w:t>
      </w:r>
      <w:r>
        <w:rPr>
          <w:rFonts w:hint="eastAsia" w:ascii="黑体" w:hAnsi="黑体" w:eastAsia="黑体" w:cs="宋体"/>
          <w:color w:val="000000"/>
          <w:kern w:val="0"/>
          <w:sz w:val="32"/>
          <w:szCs w:val="32"/>
          <w:lang w:eastAsia="zh-CN"/>
        </w:rPr>
        <w:t>问题及不足</w:t>
      </w:r>
    </w:p>
    <w:p w14:paraId="672B81F7">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lang w:val="en-US" w:eastAsia="zh-CN"/>
        </w:rPr>
      </w:pPr>
      <w:r>
        <w:rPr>
          <w:rFonts w:hint="default" w:ascii="仿宋" w:hAnsi="仿宋" w:eastAsia="仿宋" w:cs="Helvetica"/>
          <w:color w:val="000000"/>
          <w:kern w:val="0"/>
          <w:sz w:val="32"/>
          <w:szCs w:val="32"/>
          <w:lang w:eastAsia="zh-CN"/>
        </w:rPr>
        <w:t>执法队伍专业能力有待提升。</w:t>
      </w:r>
      <w:r>
        <w:rPr>
          <w:rFonts w:hint="default" w:ascii="仿宋" w:hAnsi="仿宋" w:eastAsia="仿宋" w:cs="Helvetica"/>
          <w:color w:val="000000"/>
          <w:kern w:val="0"/>
          <w:sz w:val="32"/>
          <w:szCs w:val="32"/>
          <w:lang w:val="en-US" w:eastAsia="zh-CN"/>
        </w:rPr>
        <w:t>一是执法人员数量不足，现有 执法人员需覆盖</w:t>
      </w:r>
      <w:r>
        <w:rPr>
          <w:rFonts w:hint="eastAsia" w:ascii="仿宋" w:hAnsi="仿宋" w:eastAsia="仿宋" w:cs="Helvetica"/>
          <w:color w:val="000000"/>
          <w:kern w:val="0"/>
          <w:sz w:val="32"/>
          <w:szCs w:val="32"/>
          <w:lang w:val="en-US" w:eastAsia="zh-CN"/>
        </w:rPr>
        <w:t>县域内全部河流，总长度达813公里</w:t>
      </w:r>
      <w:r>
        <w:rPr>
          <w:rFonts w:hint="default" w:ascii="仿宋" w:hAnsi="仿宋" w:eastAsia="仿宋" w:cs="Helvetica"/>
          <w:color w:val="000000"/>
          <w:kern w:val="0"/>
          <w:sz w:val="32"/>
          <w:szCs w:val="32"/>
          <w:lang w:val="en-US" w:eastAsia="zh-CN"/>
        </w:rPr>
        <w:t>、水库及</w:t>
      </w:r>
      <w:r>
        <w:rPr>
          <w:rFonts w:hint="eastAsia" w:ascii="仿宋" w:hAnsi="仿宋" w:eastAsia="仿宋" w:cs="Helvetica"/>
          <w:color w:val="000000"/>
          <w:kern w:val="0"/>
          <w:sz w:val="32"/>
          <w:szCs w:val="32"/>
          <w:lang w:val="en-US" w:eastAsia="zh-CN"/>
        </w:rPr>
        <w:t>监管</w:t>
      </w:r>
      <w:r>
        <w:rPr>
          <w:rFonts w:hint="default" w:ascii="仿宋" w:hAnsi="仿宋" w:eastAsia="仿宋" w:cs="Helvetica"/>
          <w:color w:val="000000"/>
          <w:kern w:val="0"/>
          <w:sz w:val="32"/>
          <w:szCs w:val="32"/>
          <w:lang w:val="en-US" w:eastAsia="zh-CN"/>
        </w:rPr>
        <w:t>企业</w:t>
      </w:r>
      <w:r>
        <w:rPr>
          <w:rFonts w:hint="eastAsia" w:ascii="仿宋" w:hAnsi="仿宋" w:eastAsia="仿宋" w:cs="Helvetica"/>
          <w:color w:val="000000"/>
          <w:kern w:val="0"/>
          <w:sz w:val="32"/>
          <w:szCs w:val="32"/>
          <w:lang w:val="en-US" w:eastAsia="zh-CN"/>
        </w:rPr>
        <w:t>，执法任务繁重。</w:t>
      </w:r>
      <w:r>
        <w:rPr>
          <w:rFonts w:hint="default" w:ascii="仿宋" w:hAnsi="仿宋" w:eastAsia="仿宋" w:cs="Helvetica"/>
          <w:color w:val="000000"/>
          <w:kern w:val="0"/>
          <w:sz w:val="32"/>
          <w:szCs w:val="32"/>
          <w:lang w:val="en-US" w:eastAsia="zh-CN"/>
        </w:rPr>
        <w:t>二是培训力度不够，全年仅开展</w:t>
      </w:r>
      <w:r>
        <w:rPr>
          <w:rFonts w:hint="eastAsia" w:ascii="仿宋" w:hAnsi="仿宋" w:eastAsia="仿宋" w:cs="Helvetica"/>
          <w:color w:val="000000"/>
          <w:kern w:val="0"/>
          <w:sz w:val="32"/>
          <w:szCs w:val="32"/>
          <w:lang w:val="en-US" w:eastAsia="zh-CN"/>
        </w:rPr>
        <w:t>1</w:t>
      </w:r>
      <w:r>
        <w:rPr>
          <w:rFonts w:hint="default" w:ascii="仿宋" w:hAnsi="仿宋" w:eastAsia="仿宋" w:cs="Helvetica"/>
          <w:color w:val="000000"/>
          <w:kern w:val="0"/>
          <w:sz w:val="32"/>
          <w:szCs w:val="32"/>
          <w:lang w:val="en-US" w:eastAsia="zh-CN"/>
        </w:rPr>
        <w:t>次系统培训，且多聚焦基础流程</w:t>
      </w:r>
      <w:r>
        <w:rPr>
          <w:rFonts w:hint="eastAsia" w:ascii="仿宋" w:hAnsi="仿宋" w:eastAsia="仿宋" w:cs="Helvetica"/>
          <w:color w:val="000000"/>
          <w:kern w:val="0"/>
          <w:sz w:val="32"/>
          <w:szCs w:val="32"/>
          <w:lang w:val="en-US" w:eastAsia="zh-CN"/>
        </w:rPr>
        <w:t>，</w:t>
      </w:r>
      <w:r>
        <w:rPr>
          <w:rFonts w:hint="default" w:ascii="仿宋" w:hAnsi="仿宋" w:eastAsia="仿宋" w:cs="Helvetica"/>
          <w:color w:val="000000"/>
          <w:kern w:val="0"/>
          <w:sz w:val="32"/>
          <w:szCs w:val="32"/>
          <w:lang w:val="en-US" w:eastAsia="zh-CN"/>
        </w:rPr>
        <w:t>对复杂案件的办理、新法规的学习等方面培训不足。三是部分执法人员对复杂法规条款理解不深，影响依法行政水平。​</w:t>
      </w:r>
    </w:p>
    <w:p w14:paraId="0D025334">
      <w:pPr>
        <w:widowControl/>
        <w:shd w:val="clear" w:color="auto" w:fill="FFFFFF"/>
        <w:wordWrap/>
        <w:adjustRightInd/>
        <w:snapToGrid/>
        <w:spacing w:before="0" w:after="0" w:line="640" w:lineRule="exact"/>
        <w:ind w:left="0" w:leftChars="0" w:right="0" w:firstLine="640"/>
        <w:jc w:val="both"/>
        <w:textAlignment w:val="auto"/>
        <w:outlineLvl w:val="9"/>
        <w:rPr>
          <w:rFonts w:hint="eastAsia" w:ascii="仿宋" w:hAnsi="仿宋" w:eastAsia="仿宋" w:cs="Helvetica"/>
          <w:color w:val="000000"/>
          <w:kern w:val="0"/>
          <w:sz w:val="32"/>
          <w:szCs w:val="32"/>
          <w:lang w:val="en-US" w:eastAsia="zh-CN"/>
        </w:rPr>
      </w:pPr>
      <w:r>
        <w:rPr>
          <w:rFonts w:hint="default" w:ascii="仿宋" w:hAnsi="仿宋" w:eastAsia="仿宋" w:cs="Helvetica"/>
          <w:color w:val="000000"/>
          <w:kern w:val="0"/>
          <w:sz w:val="32"/>
          <w:szCs w:val="32"/>
        </w:rPr>
        <w:t>普法宣传精准度需进一步加强。</w:t>
      </w:r>
      <w:r>
        <w:rPr>
          <w:rFonts w:hint="default" w:ascii="仿宋" w:hAnsi="仿宋" w:eastAsia="仿宋" w:cs="Helvetica"/>
          <w:color w:val="000000"/>
          <w:kern w:val="0"/>
          <w:sz w:val="32"/>
          <w:szCs w:val="32"/>
          <w:lang w:val="en-US" w:eastAsia="zh-CN"/>
        </w:rPr>
        <w:t>宣传形式较单一，</w:t>
      </w:r>
      <w:r>
        <w:rPr>
          <w:rFonts w:hint="eastAsia" w:ascii="仿宋" w:hAnsi="仿宋" w:eastAsia="仿宋" w:cs="Helvetica"/>
          <w:color w:val="000000"/>
          <w:kern w:val="0"/>
          <w:sz w:val="32"/>
          <w:szCs w:val="32"/>
          <w:lang w:val="en-US" w:eastAsia="zh-CN"/>
        </w:rPr>
        <w:t>多数</w:t>
      </w:r>
      <w:r>
        <w:rPr>
          <w:rFonts w:hint="default" w:ascii="仿宋" w:hAnsi="仿宋" w:eastAsia="仿宋" w:cs="Helvetica"/>
          <w:color w:val="000000"/>
          <w:kern w:val="0"/>
          <w:sz w:val="32"/>
          <w:szCs w:val="32"/>
          <w:lang w:val="en-US" w:eastAsia="zh-CN"/>
        </w:rPr>
        <w:t>以线下展板、手册为主，个性化普法产品；普法针对性不强，部分群体对水利法规知晓率偏低。</w:t>
      </w:r>
    </w:p>
    <w:p w14:paraId="0DA927F8">
      <w:pPr>
        <w:widowControl/>
        <w:numPr>
          <w:ilvl w:val="0"/>
          <w:numId w:val="2"/>
        </w:numPr>
        <w:wordWrap/>
        <w:adjustRightInd/>
        <w:snapToGrid/>
        <w:spacing w:before="0" w:after="0" w:line="640" w:lineRule="exact"/>
        <w:ind w:left="0" w:leftChars="0" w:right="0" w:firstLine="640" w:firstLineChars="200"/>
        <w:jc w:val="both"/>
        <w:textAlignment w:val="auto"/>
        <w:outlineLvl w:val="9"/>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党政主要负责人履行推进法治建设第一责任人职责</w:t>
      </w:r>
    </w:p>
    <w:p w14:paraId="3DA1CED8">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1.</w:t>
      </w:r>
      <w:r>
        <w:rPr>
          <w:rFonts w:hint="default" w:ascii="仿宋" w:hAnsi="仿宋" w:eastAsia="仿宋" w:cs="Helvetica"/>
          <w:color w:val="000000"/>
          <w:kern w:val="0"/>
          <w:sz w:val="32"/>
          <w:szCs w:val="32"/>
          <w:lang w:val="en-US" w:eastAsia="zh-CN"/>
        </w:rPr>
        <w:t>带头尊法学法守法：将习近平法治思想、水利法规纳入局党组理论学习中心组学习计划，在单位内部组织干部职工开展法规知识学习，推动形成“全员学法、全员守法”氛围。</w:t>
      </w:r>
    </w:p>
    <w:p w14:paraId="70DA55BD">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2.</w:t>
      </w:r>
      <w:r>
        <w:rPr>
          <w:rFonts w:hint="default" w:ascii="仿宋" w:hAnsi="仿宋" w:eastAsia="仿宋" w:cs="Helvetica"/>
          <w:color w:val="000000"/>
          <w:kern w:val="0"/>
          <w:sz w:val="32"/>
          <w:szCs w:val="32"/>
          <w:lang w:val="en-US" w:eastAsia="zh-CN"/>
        </w:rPr>
        <w:t>统筹推进法治建设：将执法规范化、普法宣传、政务服务优化等任务分解到具体科室、推动3项核心执法制度落地</w:t>
      </w:r>
      <w:r>
        <w:rPr>
          <w:rFonts w:hint="eastAsia" w:ascii="仿宋" w:hAnsi="仿宋" w:eastAsia="仿宋" w:cs="Helvetica"/>
          <w:color w:val="000000"/>
          <w:kern w:val="0"/>
          <w:sz w:val="32"/>
          <w:szCs w:val="32"/>
          <w:lang w:val="en-US" w:eastAsia="zh-CN"/>
        </w:rPr>
        <w:t>，确保制度执行到位</w:t>
      </w:r>
      <w:r>
        <w:rPr>
          <w:rFonts w:hint="default" w:ascii="仿宋" w:hAnsi="仿宋" w:eastAsia="仿宋" w:cs="Helvetica"/>
          <w:color w:val="000000"/>
          <w:kern w:val="0"/>
          <w:sz w:val="32"/>
          <w:szCs w:val="32"/>
          <w:lang w:val="en-US" w:eastAsia="zh-CN"/>
        </w:rPr>
        <w:t>。</w:t>
      </w:r>
    </w:p>
    <w:p w14:paraId="56689510">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3.</w:t>
      </w:r>
      <w:r>
        <w:rPr>
          <w:rFonts w:hint="default" w:ascii="仿宋" w:hAnsi="仿宋" w:eastAsia="仿宋" w:cs="Helvetica"/>
          <w:color w:val="000000"/>
          <w:kern w:val="0"/>
          <w:sz w:val="32"/>
          <w:szCs w:val="32"/>
          <w:lang w:val="en-US" w:eastAsia="zh-CN"/>
        </w:rPr>
        <w:t>强化执法监督问效：全年带队开展水</w:t>
      </w:r>
      <w:r>
        <w:rPr>
          <w:rFonts w:hint="eastAsia" w:ascii="仿宋" w:hAnsi="仿宋" w:eastAsia="仿宋" w:cs="Helvetica"/>
          <w:color w:val="000000"/>
          <w:kern w:val="0"/>
          <w:sz w:val="32"/>
          <w:szCs w:val="32"/>
          <w:lang w:val="en-US" w:eastAsia="zh-CN"/>
        </w:rPr>
        <w:t>行政</w:t>
      </w:r>
      <w:r>
        <w:rPr>
          <w:rFonts w:hint="default" w:ascii="仿宋" w:hAnsi="仿宋" w:eastAsia="仿宋" w:cs="Helvetica"/>
          <w:color w:val="000000"/>
          <w:kern w:val="0"/>
          <w:sz w:val="32"/>
          <w:szCs w:val="32"/>
          <w:lang w:val="en-US" w:eastAsia="zh-CN"/>
        </w:rPr>
        <w:t>执法</w:t>
      </w:r>
      <w:r>
        <w:rPr>
          <w:rFonts w:hint="eastAsia" w:ascii="仿宋" w:hAnsi="仿宋" w:eastAsia="仿宋" w:cs="Helvetica"/>
          <w:color w:val="000000"/>
          <w:kern w:val="0"/>
          <w:sz w:val="32"/>
          <w:szCs w:val="32"/>
          <w:lang w:val="en-US" w:eastAsia="zh-CN"/>
        </w:rPr>
        <w:t>检查10余余</w:t>
      </w:r>
      <w:r>
        <w:rPr>
          <w:rFonts w:hint="default" w:ascii="仿宋" w:hAnsi="仿宋" w:eastAsia="仿宋" w:cs="Helvetica"/>
          <w:color w:val="000000"/>
          <w:kern w:val="0"/>
          <w:sz w:val="32"/>
          <w:szCs w:val="32"/>
          <w:lang w:val="en-US" w:eastAsia="zh-CN"/>
        </w:rPr>
        <w:t>次，重点核查执法记录完整性、整改闭环情况，通过加强执法监督，及时发现并纠正执法过程中存在的问题，提高执法质量和水平。</w:t>
      </w:r>
    </w:p>
    <w:p w14:paraId="6DA4433F">
      <w:pPr>
        <w:widowControl/>
        <w:wordWrap/>
        <w:adjustRightInd/>
        <w:snapToGrid/>
        <w:spacing w:before="0" w:after="0" w:line="640" w:lineRule="exact"/>
        <w:ind w:left="0" w:leftChars="0" w:right="0" w:firstLine="640" w:firstLineChars="200"/>
        <w:jc w:val="both"/>
        <w:textAlignment w:val="auto"/>
        <w:outlineLvl w:val="9"/>
        <w:rPr>
          <w:color w:val="000000"/>
        </w:rPr>
      </w:pPr>
      <w:r>
        <w:rPr>
          <w:rFonts w:hint="eastAsia" w:ascii="黑体" w:hAnsi="黑体" w:eastAsia="黑体" w:cs="宋体"/>
          <w:color w:val="000000"/>
          <w:kern w:val="0"/>
          <w:sz w:val="32"/>
          <w:szCs w:val="32"/>
          <w:lang w:eastAsia="zh-CN"/>
        </w:rPr>
        <w:t>四</w:t>
      </w:r>
      <w:r>
        <w:rPr>
          <w:rFonts w:hint="eastAsia" w:ascii="黑体" w:hAnsi="黑体" w:eastAsia="黑体" w:cs="宋体"/>
          <w:color w:val="000000"/>
          <w:kern w:val="0"/>
          <w:sz w:val="32"/>
          <w:szCs w:val="32"/>
        </w:rPr>
        <w:t>、202</w:t>
      </w:r>
      <w:r>
        <w:rPr>
          <w:rFonts w:hint="eastAsia" w:ascii="黑体" w:hAnsi="黑体" w:eastAsia="黑体" w:cs="宋体"/>
          <w:color w:val="000000"/>
          <w:kern w:val="0"/>
          <w:sz w:val="32"/>
          <w:szCs w:val="32"/>
          <w:lang w:val="en-US" w:eastAsia="zh-CN"/>
        </w:rPr>
        <w:t>6</w:t>
      </w:r>
      <w:r>
        <w:rPr>
          <w:rFonts w:hint="eastAsia" w:ascii="黑体" w:hAnsi="黑体" w:eastAsia="黑体" w:cs="宋体"/>
          <w:color w:val="000000"/>
          <w:kern w:val="0"/>
          <w:sz w:val="32"/>
          <w:szCs w:val="32"/>
        </w:rPr>
        <w:t>年</w:t>
      </w:r>
      <w:r>
        <w:rPr>
          <w:rFonts w:hint="eastAsia" w:ascii="黑体" w:hAnsi="黑体" w:eastAsia="黑体" w:cs="宋体"/>
          <w:color w:val="000000"/>
          <w:kern w:val="0"/>
          <w:sz w:val="32"/>
          <w:szCs w:val="32"/>
          <w:lang w:eastAsia="zh-CN"/>
        </w:rPr>
        <w:t>度主要</w:t>
      </w:r>
      <w:r>
        <w:rPr>
          <w:rFonts w:hint="eastAsia" w:ascii="黑体" w:hAnsi="黑体" w:eastAsia="黑体" w:cs="宋体"/>
          <w:color w:val="000000"/>
          <w:kern w:val="0"/>
          <w:sz w:val="32"/>
          <w:szCs w:val="32"/>
        </w:rPr>
        <w:t>工作安排</w:t>
      </w:r>
    </w:p>
    <w:p w14:paraId="6B491334">
      <w:pPr>
        <w:widowControl/>
        <w:shd w:val="clear" w:color="auto" w:fill="FFFFFF"/>
        <w:wordWrap/>
        <w:adjustRightInd/>
        <w:snapToGrid/>
        <w:spacing w:before="0" w:after="0" w:line="640" w:lineRule="exact"/>
        <w:ind w:left="0" w:leftChars="0" w:right="0" w:firstLine="640"/>
        <w:jc w:val="both"/>
        <w:textAlignment w:val="auto"/>
        <w:outlineLvl w:val="9"/>
        <w:rPr>
          <w:rFonts w:hint="eastAsia" w:ascii="仿宋" w:hAnsi="仿宋" w:eastAsia="仿宋" w:cs="宋体"/>
          <w:color w:val="000000"/>
          <w:kern w:val="0"/>
          <w:sz w:val="32"/>
          <w:szCs w:val="32"/>
        </w:rPr>
      </w:pPr>
      <w:r>
        <w:rPr>
          <w:rFonts w:ascii="仿宋" w:hAnsi="仿宋" w:eastAsia="仿宋" w:cs="宋体"/>
          <w:color w:val="000000"/>
          <w:kern w:val="0"/>
          <w:sz w:val="32"/>
          <w:szCs w:val="32"/>
        </w:rPr>
        <w:t>202</w:t>
      </w:r>
      <w:r>
        <w:rPr>
          <w:rFonts w:hint="eastAsia" w:ascii="仿宋" w:hAnsi="仿宋" w:eastAsia="仿宋" w:cs="宋体"/>
          <w:color w:val="000000"/>
          <w:kern w:val="0"/>
          <w:sz w:val="32"/>
          <w:szCs w:val="32"/>
          <w:lang w:val="en-US" w:eastAsia="zh-CN"/>
        </w:rPr>
        <w:t>6</w:t>
      </w:r>
      <w:r>
        <w:rPr>
          <w:rFonts w:hint="eastAsia" w:ascii="仿宋" w:hAnsi="仿宋" w:eastAsia="仿宋" w:cs="宋体"/>
          <w:color w:val="000000"/>
          <w:kern w:val="0"/>
          <w:sz w:val="32"/>
          <w:szCs w:val="32"/>
        </w:rPr>
        <w:t>年，我局将紧紧围绕法治政府建设的工作任务，进一步加大依法行政工作力度，重点做好以下</w:t>
      </w:r>
      <w:r>
        <w:rPr>
          <w:rFonts w:hint="eastAsia" w:ascii="仿宋" w:hAnsi="仿宋" w:eastAsia="仿宋" w:cs="宋体"/>
          <w:color w:val="000000"/>
          <w:kern w:val="0"/>
          <w:sz w:val="32"/>
          <w:szCs w:val="32"/>
          <w:lang w:eastAsia="zh-CN"/>
        </w:rPr>
        <w:t>工作</w:t>
      </w:r>
      <w:r>
        <w:rPr>
          <w:rFonts w:hint="eastAsia" w:ascii="仿宋" w:hAnsi="仿宋" w:eastAsia="仿宋" w:cs="宋体"/>
          <w:color w:val="000000"/>
          <w:kern w:val="0"/>
          <w:sz w:val="32"/>
          <w:szCs w:val="32"/>
        </w:rPr>
        <w:t>：</w:t>
      </w:r>
    </w:p>
    <w:p w14:paraId="21D58ED9">
      <w:pPr>
        <w:widowControl/>
        <w:shd w:val="clear" w:color="auto" w:fill="FFFFFF"/>
        <w:wordWrap/>
        <w:adjustRightInd/>
        <w:snapToGrid/>
        <w:spacing w:before="0" w:after="0" w:line="640" w:lineRule="exact"/>
        <w:ind w:left="0" w:leftChars="0" w:right="0" w:firstLine="640"/>
        <w:jc w:val="both"/>
        <w:textAlignment w:val="auto"/>
        <w:outlineLvl w:val="9"/>
        <w:rPr>
          <w:rFonts w:hint="eastAsia" w:ascii="仿宋" w:hAnsi="仿宋" w:eastAsia="仿宋" w:cs="Helvetica"/>
          <w:color w:val="000000"/>
          <w:kern w:val="0"/>
          <w:sz w:val="32"/>
          <w:szCs w:val="32"/>
          <w:lang w:val="en-US" w:eastAsia="zh-CN"/>
        </w:rPr>
      </w:pPr>
      <w:r>
        <w:rPr>
          <w:rFonts w:hint="eastAsia" w:ascii="仿宋" w:hAnsi="仿宋" w:eastAsia="仿宋" w:cs="宋体"/>
          <w:color w:val="000000"/>
          <w:kern w:val="0"/>
          <w:sz w:val="32"/>
          <w:szCs w:val="32"/>
          <w:lang w:eastAsia="zh-CN"/>
        </w:rPr>
        <w:t>（一）</w:t>
      </w:r>
      <w:r>
        <w:rPr>
          <w:rFonts w:hint="default" w:ascii="仿宋" w:hAnsi="仿宋" w:eastAsia="仿宋" w:cs="Helvetica"/>
          <w:color w:val="000000"/>
          <w:kern w:val="0"/>
          <w:sz w:val="32"/>
          <w:szCs w:val="32"/>
          <w:lang w:val="en-US" w:eastAsia="zh-CN"/>
        </w:rPr>
        <w:t>建强执法队伍，提升专业能力：优化培训体系，制定详细的培训计划，开展水行政执法专题培训。邀请法律专家、业务骨干等进行授课，培训内容涵盖法律法规解读、执法流程规范、案件办理技巧等方面。通过定期培训、案例分析、模拟执法等方式，提升执法人员的专业素养和执法能力</w:t>
      </w:r>
      <w:r>
        <w:rPr>
          <w:rFonts w:hint="eastAsia" w:ascii="仿宋" w:hAnsi="仿宋" w:eastAsia="仿宋" w:cs="Helvetica"/>
          <w:color w:val="000000"/>
          <w:kern w:val="0"/>
          <w:sz w:val="32"/>
          <w:szCs w:val="32"/>
          <w:lang w:val="en-US" w:eastAsia="zh-CN"/>
        </w:rPr>
        <w:t>。</w:t>
      </w:r>
    </w:p>
    <w:p w14:paraId="32C4271D">
      <w:pPr>
        <w:widowControl/>
        <w:shd w:val="clear" w:color="auto" w:fill="FFFFFF"/>
        <w:wordWrap/>
        <w:adjustRightInd/>
        <w:snapToGrid/>
        <w:spacing w:before="0" w:after="0" w:line="640" w:lineRule="exact"/>
        <w:ind w:left="0" w:leftChars="0" w:right="0" w:firstLine="640"/>
        <w:jc w:val="both"/>
        <w:textAlignment w:val="auto"/>
        <w:outlineLvl w:val="9"/>
        <w:rPr>
          <w:rFonts w:hint="eastAsia"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（二）</w:t>
      </w:r>
      <w:r>
        <w:rPr>
          <w:rFonts w:hint="default" w:ascii="仿宋" w:hAnsi="仿宋" w:eastAsia="仿宋" w:cs="Helvetica"/>
          <w:color w:val="000000"/>
          <w:kern w:val="0"/>
          <w:sz w:val="32"/>
          <w:szCs w:val="32"/>
          <w:lang w:val="en-US" w:eastAsia="zh-CN"/>
        </w:rPr>
        <w:t>继续开展规范性文件清理工作，探索建立规范性文件清理长效机制。严格落实规范性文件清理要求，及时向社会公布清理结果，统筹做好规范性文件立、改、废、释工作。加强对执法活动的全程监督，完善执法监督机制，建立健全执法过错责任追究制度，确保执法行为合法、公正、规范。</w:t>
      </w:r>
    </w:p>
    <w:p w14:paraId="02F3CC0D">
      <w:pPr>
        <w:widowControl/>
        <w:numPr>
          <w:ilvl w:val="0"/>
          <w:numId w:val="0"/>
        </w:numPr>
        <w:shd w:val="clear" w:color="auto" w:fill="FFFFFF"/>
        <w:wordWrap/>
        <w:adjustRightInd/>
        <w:snapToGrid/>
        <w:spacing w:before="0" w:after="0" w:line="640" w:lineRule="exact"/>
        <w:ind w:left="0" w:leftChars="0" w:right="0" w:firstLine="640" w:firstLineChars="200"/>
        <w:jc w:val="both"/>
        <w:textAlignment w:val="auto"/>
        <w:outlineLvl w:val="9"/>
        <w:rPr>
          <w:rFonts w:hint="default" w:ascii="仿宋" w:hAnsi="仿宋" w:eastAsia="仿宋" w:cs="Helvetica"/>
          <w:color w:val="000000"/>
          <w:kern w:val="0"/>
          <w:sz w:val="32"/>
          <w:szCs w:val="32"/>
          <w:lang w:val="en-US" w:eastAsia="zh-CN"/>
        </w:rPr>
      </w:pPr>
      <w:r>
        <w:rPr>
          <w:rFonts w:hint="eastAsia" w:ascii="仿宋" w:hAnsi="仿宋" w:eastAsia="仿宋" w:cs="Helvetica"/>
          <w:color w:val="000000"/>
          <w:kern w:val="0"/>
          <w:sz w:val="32"/>
          <w:szCs w:val="32"/>
          <w:lang w:val="en-US" w:eastAsia="zh-CN"/>
        </w:rPr>
        <w:t>（三）</w:t>
      </w:r>
      <w:r>
        <w:rPr>
          <w:rFonts w:hint="default" w:ascii="仿宋" w:hAnsi="仿宋" w:eastAsia="仿宋" w:cs="Helvetica"/>
          <w:color w:val="000000"/>
          <w:kern w:val="0"/>
          <w:sz w:val="32"/>
          <w:szCs w:val="32"/>
          <w:lang w:val="en-US" w:eastAsia="zh-CN"/>
        </w:rPr>
        <w:t>创新政策宣传手段，利用新媒体平台、短视频等形式，制作更多生动有趣、通俗易懂的普法宣传产品。针对不同群体开展精准普法，制定个性化的普法方案，提高普法的针对性和实效性。加强与社区、学校、企业等的合作，开展 “法律进社区”“法律进学校”“法律进企业” 等活动，营造良好的法治社会氛围。</w:t>
      </w:r>
    </w:p>
    <w:p w14:paraId="3EAC443A">
      <w:pPr>
        <w:widowControl/>
        <w:shd w:val="clear" w:color="auto" w:fill="FFFFFF"/>
        <w:wordWrap/>
        <w:adjustRightInd/>
        <w:snapToGrid/>
        <w:spacing w:before="0" w:after="0" w:line="640" w:lineRule="exact"/>
        <w:ind w:left="0" w:leftChars="0" w:right="0" w:firstLine="640"/>
        <w:jc w:val="both"/>
        <w:textAlignment w:val="auto"/>
        <w:outlineLvl w:val="9"/>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下一步，我局将持续以习近平法治思想为指导，聚焦水利高质量发展目标，补短板、创亮点，不断提升法治政府建设水平，为伊通县水安全保障和生态振兴提供更有力的法治支撑。</w:t>
      </w:r>
    </w:p>
    <w:p w14:paraId="04D08E40">
      <w:pPr>
        <w:shd w:val="clear" w:color="auto" w:fill="FFFFFF"/>
        <w:wordWrap/>
        <w:adjustRightInd/>
        <w:snapToGrid/>
        <w:spacing w:before="0" w:line="680" w:lineRule="exact"/>
        <w:ind w:left="0" w:leftChars="0" w:right="0" w:firstLine="640"/>
        <w:jc w:val="both"/>
        <w:textAlignment w:val="auto"/>
        <w:outlineLvl w:val="9"/>
        <w:rPr>
          <w:rFonts w:hint="default" w:ascii="仿宋" w:hAnsi="仿宋" w:eastAsia="仿宋" w:cs="Helvetica"/>
          <w:color w:val="000000"/>
          <w:kern w:val="0"/>
          <w:sz w:val="32"/>
          <w:szCs w:val="32"/>
        </w:rPr>
      </w:pPr>
    </w:p>
    <w:p w14:paraId="1D634754">
      <w:pPr>
        <w:ind w:right="840" w:rightChars="400"/>
        <w:jc w:val="center"/>
        <w:rPr>
          <w:color w:val="000000"/>
          <w:sz w:val="32"/>
          <w:szCs w:val="32"/>
        </w:rPr>
      </w:pPr>
      <w:bookmarkStart w:id="4" w:name="_GoBack"/>
      <w:bookmarkEnd w:id="4"/>
    </w:p>
    <w:sectPr>
      <w:pgSz w:w="11906" w:h="16838"/>
      <w:pgMar w:top="2098" w:right="1474" w:bottom="1985" w:left="1588" w:header="851" w:footer="1418" w:gutter="0"/>
      <w:cols w:space="720" w:num="1"/>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D6D44E-2CB5-4D4B-A16B-40193676B3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0010101010101"/>
    <w:charset w:val="86"/>
    <w:family w:val="auto"/>
    <w:pitch w:val="default"/>
    <w:sig w:usb0="00000001" w:usb1="080E0000" w:usb2="00000000" w:usb3="00000000" w:csb0="00040000" w:csb1="00000000"/>
    <w:embedRegular r:id="rId2" w:fontKey="{57ECB107-EDC8-4466-86BC-B8482A64B0A2}"/>
  </w:font>
  <w:font w:name="仿宋">
    <w:panose1 w:val="02010609060101010101"/>
    <w:charset w:val="86"/>
    <w:family w:val="auto"/>
    <w:pitch w:val="default"/>
    <w:sig w:usb0="800002BF" w:usb1="38CF7CFA" w:usb2="00000016" w:usb3="00000000" w:csb0="00040001" w:csb1="00000000"/>
    <w:embedRegular r:id="rId3" w:fontKey="{796DBE7E-82C9-4CEB-B9AD-D4E8AD248CC0}"/>
  </w:font>
  <w:font w:name="Helvetica">
    <w:altName w:val="Microsoft Sans Serif"/>
    <w:panose1 w:val="020B0604020202020204"/>
    <w:charset w:val="01"/>
    <w:family w:val="auto"/>
    <w:pitch w:val="default"/>
    <w:sig w:usb0="00000000" w:usb1="00000000" w:usb2="00000009" w:usb3="00000000" w:csb0="000001FF" w:csb1="00000000"/>
    <w:embedRegular r:id="rId4" w:fontKey="{1C506542-836D-4311-BB7A-4B1A382898EA}"/>
  </w:font>
  <w:font w:name="Microsoft Sans Serif">
    <w:panose1 w:val="020B0604020202020204"/>
    <w:charset w:val="01"/>
    <w:family w:val="auto"/>
    <w:pitch w:val="default"/>
    <w:sig w:usb0="E5002EFF" w:usb1="C000605B" w:usb2="00000029" w:usb3="00000000" w:csb0="200101FF" w:csb1="20280000"/>
  </w:font>
  <w:font w:name="楷体">
    <w:panose1 w:val="02010609060101010101"/>
    <w:charset w:val="86"/>
    <w:family w:val="auto"/>
    <w:pitch w:val="default"/>
    <w:sig w:usb0="800002BF" w:usb1="38CF7CFA" w:usb2="00000016" w:usb3="00000000" w:csb0="00040001" w:csb1="00000000"/>
    <w:embedRegular r:id="rId5" w:fontKey="{E9F975F2-AE38-494C-B4E4-E9A00EB8107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F5A40D"/>
    <w:multiLevelType w:val="singleLevel"/>
    <w:tmpl w:val="68F5A40D"/>
    <w:lvl w:ilvl="0" w:tentative="0">
      <w:start w:val="3"/>
      <w:numFmt w:val="chineseCounting"/>
      <w:suff w:val="nothing"/>
      <w:lvlText w:val="%1、"/>
      <w:lvlJc w:val="left"/>
    </w:lvl>
  </w:abstractNum>
  <w:abstractNum w:abstractNumId="1">
    <w:nsid w:val="68F5A874"/>
    <w:multiLevelType w:val="singleLevel"/>
    <w:tmpl w:val="68F5A874"/>
    <w:lvl w:ilvl="0" w:tentative="0">
      <w:start w:val="3"/>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mirrorMargins w:val="1"/>
  <w:bordersDoNotSurroundHeader w:val="1"/>
  <w:bordersDoNotSurroundFooter w:val="1"/>
  <w:documentProtection w:enforcement="0"/>
  <w:defaultTabStop w:val="420"/>
  <w:evenAndOddHeaders w:val="1"/>
  <w:drawingGridHorizontalSpacing w:val="105"/>
  <w:drawingGridVerticalSpacing w:val="579"/>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45540A6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name="header"/>
    <w:lsdException w:qFormat="1"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99"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等线" w:hAnsi="等线" w:eastAsia="等线" w:cs="黑体"/>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9"/>
    <w:semiHidden/>
    <w:unhideWhenUsed/>
    <w:qFormat/>
    <w:uiPriority w:val="99"/>
    <w:pPr>
      <w:spacing w:after="120"/>
      <w:ind w:left="420" w:leftChars="200"/>
    </w:pPr>
  </w:style>
  <w:style w:type="paragraph" w:styleId="3">
    <w:name w:val="Balloon Text"/>
    <w:basedOn w:val="1"/>
    <w:link w:val="11"/>
    <w:semiHidden/>
    <w:unhideWhenUsed/>
    <w:uiPriority w:val="99"/>
    <w:rPr>
      <w:sz w:val="18"/>
      <w:szCs w:val="18"/>
    </w:rPr>
  </w:style>
  <w:style w:type="paragraph" w:styleId="4">
    <w:name w:val="footer"/>
    <w:basedOn w:val="1"/>
    <w:semiHidden/>
    <w:unhideWhenUsed/>
    <w:qFormat/>
    <w:uiPriority w:val="0"/>
    <w:pPr>
      <w:tabs>
        <w:tab w:val="center" w:pos="4153"/>
        <w:tab w:val="right" w:pos="8306"/>
      </w:tabs>
      <w:snapToGrid w:val="0"/>
      <w:jc w:val="left"/>
    </w:pPr>
    <w:rPr>
      <w:sz w:val="18"/>
      <w:szCs w:val="18"/>
    </w:rPr>
  </w:style>
  <w:style w:type="paragraph" w:styleId="5">
    <w:name w:val="header"/>
    <w:basedOn w:val="1"/>
    <w:semiHidden/>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link w:val="10"/>
    <w:semiHidden/>
    <w:unhideWhenUsed/>
    <w:uiPriority w:val="99"/>
    <w:pPr>
      <w:ind w:firstLine="420" w:firstLineChars="200"/>
    </w:pPr>
  </w:style>
  <w:style w:type="character" w:customStyle="1" w:styleId="9">
    <w:name w:val="正文文本缩进 字符"/>
    <w:basedOn w:val="8"/>
    <w:link w:val="2"/>
    <w:qFormat/>
    <w:uiPriority w:val="99"/>
  </w:style>
  <w:style w:type="character" w:customStyle="1" w:styleId="10">
    <w:name w:val="正文首行缩进 2 字符"/>
    <w:basedOn w:val="9"/>
    <w:link w:val="6"/>
    <w:qFormat/>
    <w:uiPriority w:val="99"/>
  </w:style>
  <w:style w:type="character" w:customStyle="1" w:styleId="11">
    <w:name w:val="批注框文本 字符"/>
    <w:basedOn w:val="8"/>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2068</Words>
  <Characters>2122</Characters>
  <Lines>21</Lines>
  <Paragraphs>6</Paragraphs>
  <TotalTime>0</TotalTime>
  <ScaleCrop>false</ScaleCrop>
  <LinksUpToDate>false</LinksUpToDate>
  <CharactersWithSpaces>2187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2022-01-08T06:35:00Z</dcterms:created>
  <dc:creator>Windows User</dc:creator>
  <cp:lastModifiedBy>A  . 赱赱檤，銩ㄋ</cp:lastModifiedBy>
  <cp:lastPrinted>2023-12-20T01:29:00Z</cp:lastPrinted>
  <dcterms:modified xsi:type="dcterms:W3CDTF">2025-10-28T06:28:28Z</dcterms:modified>
  <dc:title>伊通满族自治县水利局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eyJoZGlkIjoiZmNiYzhjOGM1OGQ5MWQ2NTkxMmUyMTVlYThmYWMyZGQiLCJ1c2VySWQiOiIyMzg2NjM5ODMifQ==</vt:lpwstr>
  </property>
  <property fmtid="{D5CDD505-2E9C-101B-9397-08002B2CF9AE}" pid="4" name="ICV">
    <vt:lpwstr>108E2235D1A84AC2AE2F6FD583F0AD14_12</vt:lpwstr>
  </property>
</Properties>
</file>