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964A0">
      <w:pPr>
        <w:keepNext w:val="0"/>
        <w:keepLines w:val="0"/>
        <w:widowControl/>
        <w:suppressLineNumbers w:val="0"/>
        <w:jc w:val="center"/>
        <w:rPr>
          <w:rFonts w:hint="eastAsia" w:ascii="仿宋_GB2312" w:hAnsi="仿宋_GB2312" w:eastAsia="仿宋_GB2312" w:cs="仿宋_GB2312"/>
          <w:sz w:val="32"/>
          <w:szCs w:val="32"/>
        </w:rPr>
      </w:pPr>
      <w:r>
        <w:rPr>
          <w:rFonts w:hint="eastAsia" w:asciiTheme="majorEastAsia" w:hAnsiTheme="majorEastAsia" w:eastAsiaTheme="majorEastAsia" w:cstheme="majorEastAsia"/>
          <w:b/>
          <w:bCs/>
          <w:color w:val="000000"/>
          <w:kern w:val="0"/>
          <w:sz w:val="44"/>
          <w:szCs w:val="44"/>
          <w:lang w:val="en-US" w:eastAsia="zh-CN" w:bidi="ar"/>
        </w:rPr>
        <w:t>伊丹镇关于 2025 年度法治政府建设情况的报告</w:t>
      </w:r>
    </w:p>
    <w:p w14:paraId="42D0EFF7">
      <w:pPr>
        <w:keepNext w:val="0"/>
        <w:keepLines w:val="0"/>
        <w:widowControl/>
        <w:suppressLineNumbers w:val="0"/>
        <w:jc w:val="left"/>
        <w:rPr>
          <w:rFonts w:hint="eastAsia" w:ascii="仿宋_GB2312" w:hAnsi="仿宋_GB2312" w:eastAsia="仿宋_GB2312" w:cs="仿宋_GB2312"/>
          <w:color w:val="000000"/>
          <w:kern w:val="0"/>
          <w:sz w:val="32"/>
          <w:szCs w:val="32"/>
          <w:lang w:val="en-US" w:eastAsia="zh-CN" w:bidi="ar"/>
        </w:rPr>
      </w:pPr>
    </w:p>
    <w:p w14:paraId="0421F6B9">
      <w:pPr>
        <w:keepNext w:val="0"/>
        <w:keepLines w:val="0"/>
        <w:widowControl/>
        <w:suppressLineNumbers w:val="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 xml:space="preserve">县委、县政府： </w:t>
      </w:r>
    </w:p>
    <w:p w14:paraId="2AAE1C5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2025年度，</w:t>
      </w:r>
      <w:r>
        <w:rPr>
          <w:rFonts w:hint="eastAsia" w:ascii="仿宋_GB2312" w:hAnsi="仿宋_GB2312" w:eastAsia="仿宋_GB2312" w:cs="仿宋_GB2312"/>
          <w:sz w:val="32"/>
          <w:szCs w:val="32"/>
          <w:lang w:val="en-US" w:eastAsia="zh-CN"/>
        </w:rPr>
        <w:t>伊丹镇</w:t>
      </w:r>
      <w:r>
        <w:rPr>
          <w:rFonts w:hint="eastAsia" w:ascii="仿宋_GB2312" w:hAnsi="仿宋_GB2312" w:eastAsia="仿宋_GB2312" w:cs="仿宋_GB2312"/>
          <w:sz w:val="32"/>
          <w:szCs w:val="32"/>
        </w:rPr>
        <w:t>在县委、县政府的坚强领导下，深入学习贯彻习近平法治思想，严格落实《</w:t>
      </w:r>
      <w:r>
        <w:rPr>
          <w:rFonts w:hint="eastAsia" w:ascii="仿宋_GB2312" w:hAnsi="仿宋_GB2312" w:eastAsia="仿宋_GB2312" w:cs="仿宋_GB2312"/>
          <w:sz w:val="32"/>
          <w:szCs w:val="32"/>
          <w:lang w:val="en-US" w:eastAsia="zh-CN"/>
        </w:rPr>
        <w:t>伊通满</w:t>
      </w:r>
      <w:r>
        <w:rPr>
          <w:rFonts w:hint="eastAsia" w:ascii="仿宋_GB2312" w:hAnsi="仿宋_GB2312" w:eastAsia="仿宋_GB2312" w:cs="仿宋_GB2312"/>
          <w:sz w:val="32"/>
          <w:szCs w:val="32"/>
        </w:rPr>
        <w:t>族自治县法治政府建设实施方案（2021-2025年）》要求，</w:t>
      </w:r>
      <w:r>
        <w:rPr>
          <w:rFonts w:hint="eastAsia" w:ascii="仿宋_GB2312" w:hAnsi="仿宋_GB2312" w:eastAsia="仿宋_GB2312" w:cs="仿宋_GB2312"/>
          <w:sz w:val="32"/>
          <w:szCs w:val="32"/>
          <w:lang w:val="en-US" w:eastAsia="zh-CN"/>
        </w:rPr>
        <w:t>扎实开展乡镇法治政府建设工作</w:t>
      </w:r>
      <w:r>
        <w:rPr>
          <w:rFonts w:hint="eastAsia" w:ascii="仿宋_GB2312" w:hAnsi="仿宋_GB2312" w:eastAsia="仿宋_GB2312" w:cs="仿宋_GB2312"/>
          <w:sz w:val="32"/>
          <w:szCs w:val="32"/>
        </w:rPr>
        <w:t>，全面提升依法行政能力和基层治理法治化水平，为全</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高质量发展提供了坚实法治保障。现将有关情况报告如下：</w:t>
      </w:r>
    </w:p>
    <w:p w14:paraId="61DBD354">
      <w:pPr>
        <w:keepNext w:val="0"/>
        <w:keepLines w:val="0"/>
        <w:widowControl/>
        <w:suppressLineNumbers w:val="0"/>
        <w:ind w:firstLine="640" w:firstLineChars="200"/>
        <w:jc w:val="left"/>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 xml:space="preserve">一、2025 年法治政府建设基本情况 </w:t>
      </w:r>
    </w:p>
    <w:p w14:paraId="643919FD">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楷体" w:hAnsi="楷体" w:eastAsia="楷体" w:cs="楷体"/>
          <w:color w:val="000000"/>
          <w:kern w:val="0"/>
          <w:sz w:val="32"/>
          <w:szCs w:val="32"/>
          <w:lang w:val="en-US" w:eastAsia="zh-CN" w:bidi="ar"/>
        </w:rPr>
        <w:t>（一）强化组织领导</w:t>
      </w:r>
      <w:r>
        <w:rPr>
          <w:rFonts w:hint="eastAsia" w:ascii="仿宋_GB2312" w:hAnsi="仿宋_GB2312" w:eastAsia="仿宋_GB2312" w:cs="仿宋_GB2312"/>
          <w:color w:val="000000"/>
          <w:kern w:val="0"/>
          <w:sz w:val="32"/>
          <w:szCs w:val="32"/>
          <w:lang w:val="en-US" w:eastAsia="zh-CN" w:bidi="ar"/>
        </w:rPr>
        <w:t>​</w:t>
      </w:r>
    </w:p>
    <w:p w14:paraId="28599C08">
      <w:pPr>
        <w:keepNext w:val="0"/>
        <w:keepLines w:val="0"/>
        <w:widowControl/>
        <w:suppressLineNumbers w:val="0"/>
        <w:ind w:firstLine="640" w:firstLineChars="200"/>
        <w:jc w:val="both"/>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镇党委、政府高度重视法治政府建设，坚持将法治建设纳入重要议事日程，定期召开专题会议研究部署相关工作。党政主要负责人切实履行推进法治建设第一责任人职责，对法治建设中的重要工作亲自部署、重大问题亲自解决、重点环节亲自协调、重要任务亲自督办。镇党委、政府全面加强习近平新时代中国特色社会主义思想和习近平法治思想的学习，不断提高领导干部和工作人员的法治思维和法治意识。严格落实依法行政和依法监督，完善内部管理制度，将各项工作全面纳入法治化轨道，把法治建设贯穿于工作的全过程和各方面，确保决策科学、执法规范、监督有效，为镇域经济社会发展提供坚实的法治保障。</w:t>
      </w:r>
    </w:p>
    <w:p w14:paraId="0B3C7EF3">
      <w:pPr>
        <w:keepNext w:val="0"/>
        <w:keepLines w:val="0"/>
        <w:widowControl/>
        <w:numPr>
          <w:ilvl w:val="0"/>
          <w:numId w:val="1"/>
        </w:numPr>
        <w:suppressLineNumbers w:val="0"/>
        <w:ind w:firstLine="640" w:firstLineChars="200"/>
        <w:jc w:val="left"/>
        <w:rPr>
          <w:rFonts w:hint="eastAsia" w:ascii="楷体" w:hAnsi="楷体" w:eastAsia="楷体" w:cs="楷体"/>
          <w:color w:val="000000"/>
          <w:kern w:val="0"/>
          <w:sz w:val="32"/>
          <w:szCs w:val="32"/>
          <w:lang w:val="en-US" w:eastAsia="zh-CN" w:bidi="ar"/>
        </w:rPr>
      </w:pPr>
      <w:r>
        <w:rPr>
          <w:rFonts w:hint="eastAsia" w:ascii="楷体" w:hAnsi="楷体" w:eastAsia="楷体" w:cs="楷体"/>
          <w:color w:val="000000"/>
          <w:kern w:val="0"/>
          <w:sz w:val="32"/>
          <w:szCs w:val="32"/>
          <w:lang w:val="en-US" w:eastAsia="zh-CN" w:bidi="ar"/>
        </w:rPr>
        <w:t>规范行政行为</w:t>
      </w:r>
    </w:p>
    <w:p w14:paraId="0EA1185B">
      <w:pPr>
        <w:keepNext w:val="0"/>
        <w:keepLines w:val="0"/>
        <w:widowControl/>
        <w:numPr>
          <w:ilvl w:val="0"/>
          <w:numId w:val="0"/>
        </w:numPr>
        <w:suppressLineNumbers w:val="0"/>
        <w:ind w:firstLine="640" w:firstLineChars="200"/>
        <w:jc w:val="both"/>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严格对标“三重一大”事项决策规范，全面落实公众参与、专家论证、风险评估、合法性审查、集体讨论决定的流程管理，确保决策科学民主、程序严谨合规。深化党委法律顾问制度建设，特聘 1 名专职律师，全年深度参与重大决策论证工作，出具专业合法性审查意见，从源头上防范决策风险与廉政风险。聚焦行政执法权责明晰化，进一步明确综治、司法、执法等部门的职责分工与权限边界，避免职能交叉，构建协同执法工作格局。围绕安全生产、生态环境保护等重点领域，精准开展联合执法行动，全年累计组织 10 余次专项执法，严厉打击违法违规行为，切实维护社会公共利益与群众合法权益。推进政务公开常态化，通过政务公开网站、公众号、微信群等渠道公开惠民政策、项目进展等信息，主动接受群众监督。</w:t>
      </w:r>
    </w:p>
    <w:p w14:paraId="3BE80A90">
      <w:pPr>
        <w:keepNext w:val="0"/>
        <w:keepLines w:val="0"/>
        <w:widowControl/>
        <w:numPr>
          <w:ilvl w:val="0"/>
          <w:numId w:val="1"/>
        </w:numPr>
        <w:suppressLineNumbers w:val="0"/>
        <w:ind w:left="0" w:leftChars="0" w:firstLine="640" w:firstLineChars="200"/>
        <w:jc w:val="left"/>
        <w:rPr>
          <w:rFonts w:hint="eastAsia" w:ascii="楷体" w:hAnsi="楷体" w:eastAsia="楷体" w:cs="楷体"/>
          <w:color w:val="000000"/>
          <w:kern w:val="0"/>
          <w:sz w:val="32"/>
          <w:szCs w:val="32"/>
          <w:lang w:val="en-US" w:eastAsia="zh-CN" w:bidi="ar"/>
        </w:rPr>
      </w:pPr>
      <w:r>
        <w:rPr>
          <w:rFonts w:hint="eastAsia" w:ascii="楷体" w:hAnsi="楷体" w:eastAsia="楷体" w:cs="楷体"/>
          <w:color w:val="000000"/>
          <w:kern w:val="0"/>
          <w:sz w:val="32"/>
          <w:szCs w:val="32"/>
          <w:lang w:val="en-US" w:eastAsia="zh-CN" w:bidi="ar"/>
        </w:rPr>
        <w:t xml:space="preserve">深化普法宣传 </w:t>
      </w:r>
    </w:p>
    <w:p w14:paraId="271E964D">
      <w:pPr>
        <w:keepNext w:val="0"/>
        <w:keepLines w:val="0"/>
        <w:widowControl/>
        <w:numPr>
          <w:ilvl w:val="0"/>
          <w:numId w:val="0"/>
        </w:numPr>
        <w:suppressLineNumbers w:val="0"/>
        <w:ind w:firstLine="640" w:firstLineChars="200"/>
        <w:jc w:val="both"/>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以“八五”普法规划为抓手，健全“谁执法谁普法” 责任制，构建全域普法格局。以《宪法》《民法典》《国家安全法》《民法典》《劳动法》等内容为宣传重点，本年度开展集中宣传活动 4 场，发放宣传资料 300 余份。创新宣传形式，充分发挥“法律明白人”作用，深入田间地头、村民院落开展精准普法，提升村民群众覆盖率。打造法治文化阵地，在 12 个村建成法治文化宣传栏，宣传法治常识，推动法治理念深入人心。</w:t>
      </w:r>
    </w:p>
    <w:p w14:paraId="7EEA550B">
      <w:pPr>
        <w:keepNext w:val="0"/>
        <w:keepLines w:val="0"/>
        <w:widowControl/>
        <w:numPr>
          <w:ilvl w:val="0"/>
          <w:numId w:val="1"/>
        </w:numPr>
        <w:suppressLineNumbers w:val="0"/>
        <w:ind w:left="0" w:leftChars="0" w:firstLine="640" w:firstLineChars="200"/>
        <w:jc w:val="left"/>
        <w:rPr>
          <w:rFonts w:hint="eastAsia" w:ascii="楷体" w:hAnsi="楷体" w:eastAsia="楷体" w:cs="楷体"/>
          <w:color w:val="000000"/>
          <w:kern w:val="0"/>
          <w:sz w:val="32"/>
          <w:szCs w:val="32"/>
          <w:lang w:val="en-US" w:eastAsia="zh-CN" w:bidi="ar"/>
        </w:rPr>
      </w:pPr>
      <w:r>
        <w:rPr>
          <w:rFonts w:hint="eastAsia" w:ascii="楷体" w:hAnsi="楷体" w:eastAsia="楷体" w:cs="楷体"/>
          <w:color w:val="000000"/>
          <w:kern w:val="0"/>
          <w:sz w:val="32"/>
          <w:szCs w:val="32"/>
          <w:lang w:val="en-US" w:eastAsia="zh-CN" w:bidi="ar"/>
        </w:rPr>
        <w:t>健全调解机制</w:t>
      </w:r>
    </w:p>
    <w:p w14:paraId="59FD18C6">
      <w:pPr>
        <w:keepNext w:val="0"/>
        <w:keepLines w:val="0"/>
        <w:widowControl/>
        <w:numPr>
          <w:ilvl w:val="0"/>
          <w:numId w:val="0"/>
        </w:numPr>
        <w:suppressLineNumbers w:val="0"/>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构建三级调解制度，综治中心、司法、派出所、各村协同联动，深入开展矛盾纠纷排查化解工作，建立矛盾纠纷月排查、季研判制度，对征地拆迁、邻里纠纷等重点领域隐患及时摸排化解，全年共排查矛盾纠纷 51 件，成功调解 51件，调解成功率达100%。畅通诉求表达渠道，规范信访接待流程，关注群众意见，未发生群体性事件和恶性案件。</w:t>
      </w:r>
    </w:p>
    <w:p w14:paraId="2F376712">
      <w:pPr>
        <w:keepNext w:val="0"/>
        <w:keepLines w:val="0"/>
        <w:widowControl/>
        <w:suppressLineNumbers w:val="0"/>
        <w:ind w:firstLine="640" w:firstLineChars="200"/>
        <w:jc w:val="left"/>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 xml:space="preserve">二、存在的问题和不足 </w:t>
      </w:r>
    </w:p>
    <w:p w14:paraId="02575C0B">
      <w:pPr>
        <w:ind w:firstLine="640" w:firstLineChars="200"/>
        <w:rPr>
          <w:rFonts w:hint="eastAsia" w:ascii="楷体" w:hAnsi="楷体" w:eastAsia="楷体" w:cs="楷体"/>
          <w:sz w:val="32"/>
          <w:szCs w:val="32"/>
        </w:rPr>
      </w:pPr>
      <w:r>
        <w:rPr>
          <w:rFonts w:hint="eastAsia" w:ascii="楷体" w:hAnsi="楷体" w:eastAsia="楷体" w:cs="楷体"/>
          <w:color w:val="000000"/>
          <w:kern w:val="0"/>
          <w:sz w:val="32"/>
          <w:szCs w:val="32"/>
          <w:lang w:val="en-US" w:eastAsia="zh-CN" w:bidi="ar"/>
        </w:rPr>
        <w:t>（一）</w:t>
      </w:r>
      <w:r>
        <w:rPr>
          <w:rFonts w:hint="eastAsia" w:ascii="楷体" w:hAnsi="楷体" w:eastAsia="楷体" w:cs="楷体"/>
          <w:sz w:val="32"/>
          <w:szCs w:val="32"/>
        </w:rPr>
        <w:t>法治教育有待加强。</w:t>
      </w:r>
    </w:p>
    <w:p w14:paraId="1279FFB2">
      <w:p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对</w:t>
      </w:r>
      <w:r>
        <w:rPr>
          <w:rFonts w:hint="eastAsia" w:ascii="仿宋_GB2312" w:hAnsi="仿宋_GB2312" w:eastAsia="仿宋_GB2312" w:cs="仿宋_GB2312"/>
          <w:sz w:val="32"/>
          <w:szCs w:val="32"/>
        </w:rPr>
        <w:t>镇</w:t>
      </w:r>
      <w:r>
        <w:rPr>
          <w:rFonts w:hint="eastAsia" w:ascii="仿宋_GB2312" w:hAnsi="仿宋_GB2312" w:eastAsia="仿宋_GB2312" w:cs="仿宋_GB2312"/>
          <w:sz w:val="32"/>
          <w:szCs w:val="32"/>
          <w:lang w:val="en-US" w:eastAsia="zh-CN"/>
        </w:rPr>
        <w:t>村工作人员</w:t>
      </w:r>
      <w:r>
        <w:rPr>
          <w:rFonts w:hint="eastAsia" w:ascii="仿宋_GB2312" w:hAnsi="仿宋_GB2312" w:eastAsia="仿宋_GB2312" w:cs="仿宋_GB2312"/>
          <w:sz w:val="32"/>
          <w:szCs w:val="32"/>
        </w:rPr>
        <w:t>的教育培训</w:t>
      </w:r>
      <w:r>
        <w:rPr>
          <w:rFonts w:hint="eastAsia" w:ascii="仿宋_GB2312" w:hAnsi="仿宋_GB2312" w:eastAsia="仿宋_GB2312" w:cs="仿宋_GB2312"/>
          <w:sz w:val="32"/>
          <w:szCs w:val="32"/>
          <w:lang w:val="en-US" w:eastAsia="zh-CN"/>
        </w:rPr>
        <w:t>还不够深入</w:t>
      </w:r>
      <w:r>
        <w:rPr>
          <w:rFonts w:hint="eastAsia" w:ascii="仿宋_GB2312" w:hAnsi="仿宋_GB2312" w:eastAsia="仿宋_GB2312" w:cs="仿宋_GB2312"/>
          <w:sz w:val="32"/>
          <w:szCs w:val="32"/>
        </w:rPr>
        <w:t>，缺乏系统性、全面性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工作人员的依法行政能力还不足。</w:t>
      </w:r>
    </w:p>
    <w:p w14:paraId="723DD1AE">
      <w:pPr>
        <w:numPr>
          <w:ilvl w:val="0"/>
          <w:numId w:val="2"/>
        </w:numPr>
        <w:ind w:firstLine="640" w:firstLineChars="200"/>
        <w:rPr>
          <w:rFonts w:hint="eastAsia" w:ascii="楷体" w:hAnsi="楷体" w:eastAsia="楷体" w:cs="楷体"/>
          <w:sz w:val="32"/>
          <w:szCs w:val="32"/>
          <w:lang w:eastAsia="zh-CN"/>
        </w:rPr>
      </w:pPr>
      <w:r>
        <w:rPr>
          <w:rFonts w:hint="eastAsia" w:ascii="楷体" w:hAnsi="楷体" w:eastAsia="楷体" w:cs="楷体"/>
          <w:sz w:val="32"/>
          <w:szCs w:val="32"/>
        </w:rPr>
        <w:t>普法宣传力度不够</w:t>
      </w:r>
      <w:r>
        <w:rPr>
          <w:rFonts w:hint="eastAsia" w:ascii="楷体" w:hAnsi="楷体" w:eastAsia="楷体" w:cs="楷体"/>
          <w:sz w:val="32"/>
          <w:szCs w:val="32"/>
          <w:lang w:eastAsia="zh-CN"/>
        </w:rPr>
        <w:t>。</w:t>
      </w:r>
    </w:p>
    <w:p w14:paraId="33C22EF3">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法治宣传手段相对单一，</w:t>
      </w:r>
      <w:r>
        <w:rPr>
          <w:rFonts w:hint="eastAsia" w:ascii="仿宋_GB2312" w:hAnsi="仿宋_GB2312" w:eastAsia="仿宋_GB2312" w:cs="仿宋_GB2312"/>
          <w:sz w:val="32"/>
          <w:szCs w:val="32"/>
          <w:lang w:val="en-US" w:eastAsia="zh-CN"/>
        </w:rPr>
        <w:t>主要依靠开展宣传活动以及微信平台宣传等方式，</w:t>
      </w:r>
      <w:r>
        <w:rPr>
          <w:rFonts w:hint="eastAsia" w:ascii="仿宋_GB2312" w:hAnsi="仿宋_GB2312" w:eastAsia="仿宋_GB2312" w:cs="仿宋_GB2312"/>
          <w:sz w:val="32"/>
          <w:szCs w:val="32"/>
        </w:rPr>
        <w:t>普法效果并不理想</w:t>
      </w:r>
      <w:r>
        <w:rPr>
          <w:rFonts w:hint="eastAsia" w:ascii="仿宋_GB2312" w:hAnsi="仿宋_GB2312" w:eastAsia="仿宋_GB2312" w:cs="仿宋_GB2312"/>
          <w:sz w:val="32"/>
          <w:szCs w:val="32"/>
          <w:lang w:eastAsia="zh-CN"/>
        </w:rPr>
        <w:t>。</w:t>
      </w:r>
    </w:p>
    <w:p w14:paraId="087FA99F">
      <w:pPr>
        <w:keepNext w:val="0"/>
        <w:keepLines w:val="0"/>
        <w:widowControl/>
        <w:suppressLineNumbers w:val="0"/>
        <w:ind w:firstLine="640" w:firstLineChars="200"/>
        <w:jc w:val="left"/>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 xml:space="preserve">三、党政主要负责人履行推进法治建设第一责任人职责 </w:t>
      </w:r>
    </w:p>
    <w:p w14:paraId="650ABCD4">
      <w:pPr>
        <w:ind w:firstLine="640" w:firstLineChars="200"/>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（一）落实思想引领</w:t>
      </w:r>
      <w:r>
        <w:rPr>
          <w:rFonts w:hint="eastAsia" w:ascii="仿宋_GB2312" w:hAnsi="仿宋_GB2312" w:eastAsia="仿宋_GB2312" w:cs="仿宋_GB2312"/>
          <w:sz w:val="32"/>
          <w:szCs w:val="32"/>
          <w:lang w:val="en-US" w:eastAsia="zh-CN"/>
        </w:rPr>
        <w:t>​</w:t>
      </w:r>
    </w:p>
    <w:p w14:paraId="453C05C6">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党政主要负责人全面履行推进法治建设第一责任人职责，</w:t>
      </w:r>
      <w:r>
        <w:rPr>
          <w:rFonts w:hint="eastAsia" w:ascii="仿宋_GB2312" w:hAnsi="仿宋_GB2312" w:eastAsia="仿宋_GB2312" w:cs="仿宋_GB2312"/>
          <w:sz w:val="32"/>
          <w:szCs w:val="32"/>
        </w:rPr>
        <w:t>推进法治建设与</w:t>
      </w:r>
      <w:r>
        <w:rPr>
          <w:rFonts w:hint="eastAsia" w:ascii="仿宋_GB2312" w:hAnsi="仿宋_GB2312" w:eastAsia="仿宋_GB2312" w:cs="仿宋_GB2312"/>
          <w:sz w:val="32"/>
          <w:szCs w:val="32"/>
          <w:lang w:val="en-US" w:eastAsia="zh-CN"/>
        </w:rPr>
        <w:t>党政</w:t>
      </w:r>
      <w:r>
        <w:rPr>
          <w:rFonts w:hint="eastAsia" w:ascii="仿宋_GB2312" w:hAnsi="仿宋_GB2312" w:eastAsia="仿宋_GB2312" w:cs="仿宋_GB2312"/>
          <w:sz w:val="32"/>
          <w:szCs w:val="32"/>
        </w:rPr>
        <w:t>工作部署相结合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党政主要负责人带头学习贯彻习近平法治思想，将其纳入会前学法重要内容。切实履行法治政府建设主体责任，定期研究推进法治政府建设工作，推动法治建设各项任务落地。</w:t>
      </w:r>
    </w:p>
    <w:p w14:paraId="0B9F8E9B">
      <w:pPr>
        <w:numPr>
          <w:ilvl w:val="0"/>
          <w:numId w:val="3"/>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完善制度机制</w:t>
      </w:r>
    </w:p>
    <w:p w14:paraId="6C149B3D">
      <w:pPr>
        <w:numPr>
          <w:ilvl w:val="0"/>
          <w:numId w:val="0"/>
        </w:num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党委主要负责人严格执行党委议事规则，对法治建设重要工作亲自部署、重大问题亲自过问，推动建立健全规范性文件起草、审核、备案机制。政府主要负责人牵头制定法治政府建设年度计划，严格落实重大决策合法性审查制度，确保政府行政行为始终在法治轨道运行。</w:t>
      </w:r>
    </w:p>
    <w:p w14:paraId="51B99611">
      <w:pPr>
        <w:ind w:firstLine="640" w:firstLineChars="200"/>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（三）聚焦基层法治</w:t>
      </w:r>
      <w:r>
        <w:rPr>
          <w:rFonts w:hint="eastAsia" w:ascii="仿宋_GB2312" w:hAnsi="仿宋_GB2312" w:eastAsia="仿宋_GB2312" w:cs="仿宋_GB2312"/>
          <w:sz w:val="32"/>
          <w:szCs w:val="32"/>
          <w:lang w:val="en-US" w:eastAsia="zh-CN"/>
        </w:rPr>
        <w:t>​</w:t>
      </w:r>
    </w:p>
    <w:p w14:paraId="53D859C0">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序推动民主法治村创建与各项中心工作相结合。以创建“民主法治村”为载体，积极创新基层普法理念、工作机制和方式方法，持续深化美丽乡村建设、平安建设等中心工作，进一步健全自治、法治、德治、智治“四治合一”的乡村治理体系</w:t>
      </w:r>
      <w:r>
        <w:rPr>
          <w:rFonts w:hint="eastAsia" w:ascii="仿宋_GB2312" w:hAnsi="仿宋_GB2312" w:eastAsia="仿宋_GB2312" w:cs="仿宋_GB2312"/>
          <w:sz w:val="32"/>
          <w:szCs w:val="32"/>
          <w:lang w:eastAsia="zh-CN"/>
        </w:rPr>
        <w:t>。</w:t>
      </w:r>
    </w:p>
    <w:p w14:paraId="347D3A8D">
      <w:pPr>
        <w:keepNext w:val="0"/>
        <w:keepLines w:val="0"/>
        <w:widowControl/>
        <w:suppressLineNumbers w:val="0"/>
        <w:ind w:firstLine="640" w:firstLineChars="200"/>
        <w:jc w:val="left"/>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 xml:space="preserve">四、2026 年度主要工作安排 </w:t>
      </w:r>
    </w:p>
    <w:p w14:paraId="64C6C556">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一</w:t>
      </w:r>
      <w:r>
        <w:rPr>
          <w:rFonts w:hint="eastAsia" w:ascii="楷体" w:hAnsi="楷体" w:eastAsia="楷体" w:cs="楷体"/>
          <w:sz w:val="32"/>
          <w:szCs w:val="32"/>
          <w:lang w:eastAsia="zh-CN"/>
        </w:rPr>
        <w:t>）</w:t>
      </w:r>
      <w:r>
        <w:rPr>
          <w:rFonts w:hint="eastAsia" w:ascii="楷体" w:hAnsi="楷体" w:eastAsia="楷体" w:cs="楷体"/>
          <w:sz w:val="32"/>
          <w:szCs w:val="32"/>
        </w:rPr>
        <w:t>继续深入贯彻落实习近平</w:t>
      </w:r>
      <w:r>
        <w:rPr>
          <w:rFonts w:hint="eastAsia" w:ascii="楷体" w:hAnsi="楷体" w:eastAsia="楷体" w:cs="楷体"/>
          <w:sz w:val="32"/>
          <w:szCs w:val="32"/>
          <w:lang w:val="en-US" w:eastAsia="zh-CN"/>
        </w:rPr>
        <w:t>法治思想</w:t>
      </w:r>
    </w:p>
    <w:p w14:paraId="22FA9BC8">
      <w:pPr>
        <w:numPr>
          <w:ilvl w:val="0"/>
          <w:numId w:val="0"/>
        </w:num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深入推进宪法宣传贯彻，确保全面依法治镇正确的政治方向。继续健全法治建设制度和强化职责，持续强化法治建设第一责任人职责，不断增强党领导全面依法治镇的能力和水平。</w:t>
      </w:r>
    </w:p>
    <w:p w14:paraId="4EB4A7AA">
      <w:pPr>
        <w:numPr>
          <w:ilvl w:val="0"/>
          <w:numId w:val="0"/>
        </w:numPr>
        <w:ind w:firstLine="640" w:firstLineChars="200"/>
        <w:rPr>
          <w:rFonts w:hint="eastAsia" w:ascii="楷体" w:hAnsi="楷体" w:eastAsia="楷体" w:cs="楷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rPr>
        <w:t>继续强化法治建设保障</w:t>
      </w:r>
    </w:p>
    <w:p w14:paraId="4227F0E2">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继续深入推进依法行政，进一步规范行政执法，规范重大行政决策程序，健全科学民主依法决策机制，加快推进法治政府建设。</w:t>
      </w:r>
    </w:p>
    <w:p w14:paraId="5B7EF25F">
      <w:pPr>
        <w:numPr>
          <w:ilvl w:val="0"/>
          <w:numId w:val="3"/>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持续强化法治宣传教育工作</w:t>
      </w:r>
      <w:r>
        <w:rPr>
          <w:rFonts w:hint="eastAsia" w:ascii="仿宋_GB2312" w:hAnsi="仿宋_GB2312" w:eastAsia="仿宋_GB2312" w:cs="仿宋_GB2312"/>
          <w:sz w:val="32"/>
          <w:szCs w:val="32"/>
          <w:lang w:eastAsia="zh-CN"/>
        </w:rPr>
        <w:t>。</w:t>
      </w:r>
    </w:p>
    <w:p w14:paraId="42B6646F">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着力在全社会厚植</w:t>
      </w:r>
      <w:r>
        <w:rPr>
          <w:rFonts w:hint="eastAsia" w:ascii="仿宋_GB2312" w:hAnsi="仿宋_GB2312" w:eastAsia="仿宋_GB2312" w:cs="仿宋_GB2312"/>
          <w:sz w:val="32"/>
          <w:szCs w:val="32"/>
          <w:lang w:eastAsia="zh-CN"/>
        </w:rPr>
        <w:t>尊法学法守法用法</w:t>
      </w:r>
      <w:r>
        <w:rPr>
          <w:rFonts w:hint="eastAsia" w:ascii="仿宋_GB2312" w:hAnsi="仿宋_GB2312" w:eastAsia="仿宋_GB2312" w:cs="仿宋_GB2312"/>
          <w:sz w:val="32"/>
          <w:szCs w:val="32"/>
        </w:rPr>
        <w:t>的法治信仰，营造浓厚法治氛围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强化</w:t>
      </w:r>
      <w:r>
        <w:rPr>
          <w:rFonts w:hint="eastAsia" w:ascii="仿宋_GB2312" w:hAnsi="仿宋_GB2312" w:eastAsia="仿宋_GB2312" w:cs="仿宋_GB2312"/>
          <w:sz w:val="32"/>
          <w:szCs w:val="32"/>
        </w:rPr>
        <w:t>线上线下两方面宣传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通过开展入户宣传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新媒体宣传</w:t>
      </w:r>
      <w:r>
        <w:rPr>
          <w:rFonts w:hint="eastAsia" w:ascii="仿宋_GB2312" w:hAnsi="仿宋_GB2312" w:eastAsia="仿宋_GB2312" w:cs="仿宋_GB2312"/>
          <w:sz w:val="32"/>
          <w:szCs w:val="32"/>
        </w:rPr>
        <w:t>等多样化形式，确保宣传内容既“看得见”，更能让群众“听得懂、记得住、有共鸣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，切实增强群众对政法工作的知晓度、认同感与支持度。</w:t>
      </w:r>
    </w:p>
    <w:p w14:paraId="0FC272F1">
      <w:pPr>
        <w:numPr>
          <w:ilvl w:val="0"/>
          <w:numId w:val="0"/>
        </w:numPr>
        <w:ind w:firstLine="640" w:firstLineChars="200"/>
        <w:rPr>
          <w:rFonts w:hint="eastAsia" w:ascii="仿宋_GB2312" w:hAnsi="仿宋_GB2312" w:eastAsia="仿宋_GB2312" w:cs="仿宋_GB2312"/>
          <w:sz w:val="32"/>
          <w:szCs w:val="32"/>
        </w:rPr>
      </w:pPr>
    </w:p>
    <w:p w14:paraId="27E259A4">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bookmarkStart w:id="0" w:name="_GoBack"/>
      <w:bookmarkEnd w:id="0"/>
    </w:p>
    <w:p w14:paraId="6D45A0A7">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p>
    <w:p w14:paraId="3E1B3E92">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p>
    <w:p w14:paraId="419A76A5">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p>
    <w:p w14:paraId="7B152229">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p>
    <w:p w14:paraId="1399DFDC">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p>
    <w:p w14:paraId="4B7DF2A3">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p>
    <w:p w14:paraId="3C8E004A">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p>
    <w:p w14:paraId="20DF3CD2">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p>
    <w:p w14:paraId="05D3F3B8">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CD24D4"/>
    <w:multiLevelType w:val="singleLevel"/>
    <w:tmpl w:val="B4CD24D4"/>
    <w:lvl w:ilvl="0" w:tentative="0">
      <w:start w:val="2"/>
      <w:numFmt w:val="chineseCounting"/>
      <w:suff w:val="nothing"/>
      <w:lvlText w:val="（%1）"/>
      <w:lvlJc w:val="left"/>
      <w:rPr>
        <w:rFonts w:hint="eastAsia"/>
      </w:rPr>
    </w:lvl>
  </w:abstractNum>
  <w:abstractNum w:abstractNumId="1">
    <w:nsid w:val="F2178E32"/>
    <w:multiLevelType w:val="singleLevel"/>
    <w:tmpl w:val="F2178E32"/>
    <w:lvl w:ilvl="0" w:tentative="0">
      <w:start w:val="2"/>
      <w:numFmt w:val="chineseCounting"/>
      <w:suff w:val="nothing"/>
      <w:lvlText w:val="（%1）"/>
      <w:lvlJc w:val="left"/>
      <w:rPr>
        <w:rFonts w:hint="eastAsia"/>
      </w:rPr>
    </w:lvl>
  </w:abstractNum>
  <w:abstractNum w:abstractNumId="2">
    <w:nsid w:val="677501EA"/>
    <w:multiLevelType w:val="singleLevel"/>
    <w:tmpl w:val="677501EA"/>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B46AAA"/>
    <w:rsid w:val="0B310FFA"/>
    <w:rsid w:val="11562225"/>
    <w:rsid w:val="46B46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1959</Words>
  <Characters>1993</Characters>
  <Lines>0</Lines>
  <Paragraphs>0</Paragraphs>
  <TotalTime>37</TotalTime>
  <ScaleCrop>false</ScaleCrop>
  <LinksUpToDate>false</LinksUpToDate>
  <CharactersWithSpaces>2020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2025-10-24T02:41:00Z</dcterms:created>
  <dc:creator>石</dc:creator>
  <cp:lastModifiedBy>A  . 赱赱檤，銩ㄋ</cp:lastModifiedBy>
  <dcterms:modified xsi:type="dcterms:W3CDTF">2025-10-28T06:47:33Z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176C4F8E527343BABBD9E354BDED9485_13</vt:lpwstr>
  </property>
  <property fmtid="{D5CDD505-2E9C-101B-9397-08002B2CF9AE}" pid="4" name="KSOTemplateDocerSaveRecord">
    <vt:lpwstr>eyJoZGlkIjoiZmNiYzhjOGM1OGQ5MWQ2NTkxMmUyMTVlYThmYWMyZGQiLCJ1c2VySWQiOiIyMzg2NjM5ODMifQ==</vt:lpwstr>
  </property>
</Properties>
</file>