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F528E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lang w:val="en-U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/>
        </w:rPr>
        <w:t>伊通镇关于2025年度法治政府建设情况的报告</w:t>
      </w:r>
    </w:p>
    <w:p w14:paraId="1EB3F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4"/>
          <w:szCs w:val="34"/>
          <w:lang w:val="en-US"/>
        </w:rPr>
      </w:pPr>
    </w:p>
    <w:p w14:paraId="F87E7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4"/>
          <w:szCs w:val="34"/>
          <w:lang w:val="en-US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/>
        </w:rPr>
        <w:t>县委、县政府：</w:t>
      </w:r>
    </w:p>
    <w:p w14:paraId="FF032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lang w:val="en-US"/>
        </w:rPr>
      </w:pPr>
      <w:r>
        <w:rPr>
          <w:rFonts w:hint="default" w:ascii="Times New Roman" w:hAnsi="Times New Roman" w:eastAsia="仿宋_GB2312" w:cs="Times New Roman"/>
          <w:sz w:val="34"/>
          <w:szCs w:val="34"/>
          <w:lang w:val="en-US"/>
        </w:rPr>
        <w:t>2025</w:t>
      </w:r>
      <w:r>
        <w:rPr>
          <w:rFonts w:hint="eastAsia" w:ascii="仿宋_GB2312" w:hAnsi="仿宋_GB2312" w:eastAsia="仿宋_GB2312" w:cs="仿宋_GB2312"/>
          <w:sz w:val="34"/>
          <w:szCs w:val="34"/>
          <w:lang w:val="en-US"/>
        </w:rPr>
        <w:t>年度，伊通镇始终坚持以习近平法治思想为指导，紧紧围绕县委、县政府法治政府建设工作部署，结合乡镇工作实际，扎实推进依法行政、规范执法、普法宣传、矛盾化解等重点工作，切实把法治思维和法治方式贯穿镇域治理全过程，现将全年法治政府建设情况报告如下：</w:t>
      </w:r>
    </w:p>
    <w:p w14:paraId="81E50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黑体" w:hAnsi="黑体" w:eastAsia="黑体" w:cs="黑体"/>
          <w:sz w:val="34"/>
          <w:szCs w:val="34"/>
          <w:lang w:val="en-US"/>
        </w:rPr>
      </w:pPr>
      <w:r>
        <w:rPr>
          <w:rFonts w:hint="eastAsia" w:ascii="黑体" w:hAnsi="黑体" w:eastAsia="黑体" w:cs="黑体"/>
          <w:sz w:val="34"/>
          <w:szCs w:val="34"/>
          <w:lang w:val="en-US"/>
        </w:rPr>
        <w:t>一、</w:t>
      </w:r>
      <w:r>
        <w:rPr>
          <w:rFonts w:hint="default" w:ascii="Times New Roman" w:hAnsi="Times New Roman" w:eastAsia="黑体" w:cs="Times New Roman"/>
          <w:sz w:val="34"/>
          <w:szCs w:val="34"/>
          <w:lang w:val="en-US"/>
        </w:rPr>
        <w:t>2025</w:t>
      </w:r>
      <w:r>
        <w:rPr>
          <w:rFonts w:hint="eastAsia" w:ascii="黑体" w:hAnsi="黑体" w:eastAsia="黑体" w:cs="黑体"/>
          <w:sz w:val="34"/>
          <w:szCs w:val="34"/>
          <w:lang w:val="en-US"/>
        </w:rPr>
        <w:t>年法治政府建设基本情况</w:t>
      </w:r>
    </w:p>
    <w:p w14:paraId="614CE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楷体_GB2312" w:hAnsi="楷体_GB2312" w:eastAsia="楷体_GB2312" w:cs="楷体_GB2312"/>
          <w:sz w:val="34"/>
          <w:szCs w:val="34"/>
          <w:lang w:val="en-US"/>
        </w:rPr>
      </w:pPr>
      <w:r>
        <w:rPr>
          <w:rFonts w:hint="eastAsia" w:ascii="楷体_GB2312" w:hAnsi="楷体_GB2312" w:eastAsia="楷体_GB2312" w:cs="楷体_GB2312"/>
          <w:sz w:val="34"/>
          <w:szCs w:val="34"/>
          <w:lang w:val="en-US"/>
        </w:rPr>
        <w:t>（一）健全法治工作机制，夯实建设基础</w:t>
      </w:r>
    </w:p>
    <w:p w14:paraId="3BD6C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34"/>
          <w:szCs w:val="34"/>
          <w:lang w:val="en-US"/>
        </w:rPr>
        <w:t>一是</w:t>
      </w:r>
      <w:r>
        <w:rPr>
          <w:rFonts w:hint="eastAsia" w:ascii="仿宋_GB2312" w:hAnsi="仿宋_GB2312" w:eastAsia="仿宋_GB2312" w:cs="仿宋_GB2312"/>
          <w:sz w:val="34"/>
          <w:szCs w:val="34"/>
          <w:lang w:val="en-US"/>
        </w:rPr>
        <w:t>完善组织架构。成立由镇党委书记、镇长任双组长，其他副职领导任副组长，各科室、村负责人为成员的法治政府建设工作领导小组，将法治建设任务分解至具体岗位、明确到责任人员，形成“主要领导亲自抓、分管领导具体抓、部门协同共同抓”的工作格局。</w:t>
      </w:r>
      <w:r>
        <w:rPr>
          <w:rFonts w:hint="eastAsia" w:ascii="仿宋_GB2312" w:hAnsi="仿宋_GB2312" w:eastAsia="仿宋_GB2312" w:cs="仿宋_GB2312"/>
          <w:b/>
          <w:bCs/>
          <w:sz w:val="34"/>
          <w:szCs w:val="34"/>
          <w:lang w:val="en-US"/>
        </w:rPr>
        <w:t>二是</w:t>
      </w:r>
      <w:r>
        <w:rPr>
          <w:rFonts w:hint="eastAsia" w:ascii="仿宋_GB2312" w:hAnsi="仿宋_GB2312" w:eastAsia="仿宋_GB2312" w:cs="仿宋_GB2312"/>
          <w:sz w:val="34"/>
          <w:szCs w:val="34"/>
          <w:lang w:val="en-US"/>
        </w:rPr>
        <w:t>规范决策流程。严格执行《重大行政决策程序规定》，对镇域内项目建设、集体资产处置、惠民政策落实等重大事项，均通过“公众参与、专家论证、风险评估、合法性审查、集体讨论决定”五步流程推进，未出现决策程序违规问题。</w:t>
      </w:r>
      <w:r>
        <w:rPr>
          <w:rFonts w:hint="eastAsia" w:ascii="仿宋_GB2312" w:hAnsi="仿宋_GB2312" w:eastAsia="仿宋_GB2312" w:cs="仿宋_GB2312"/>
          <w:b/>
          <w:bCs/>
          <w:sz w:val="34"/>
          <w:szCs w:val="34"/>
          <w:lang w:val="en-US"/>
        </w:rPr>
        <w:t>三是</w:t>
      </w:r>
      <w:r>
        <w:rPr>
          <w:rFonts w:hint="eastAsia" w:ascii="仿宋_GB2312" w:hAnsi="仿宋_GB2312" w:eastAsia="仿宋_GB2312" w:cs="仿宋_GB2312"/>
          <w:sz w:val="34"/>
          <w:szCs w:val="34"/>
          <w:lang w:val="en-US"/>
        </w:rPr>
        <w:t>强化队伍建设。全年组织镇村干部开展法治</w:t>
      </w:r>
      <w:r>
        <w:rPr>
          <w:rFonts w:hint="default" w:ascii="Times New Roman" w:hAnsi="Times New Roman" w:eastAsia="仿宋_GB2312" w:cs="Times New Roman"/>
          <w:sz w:val="34"/>
          <w:szCs w:val="34"/>
          <w:lang w:val="en-US"/>
        </w:rPr>
        <w:t>培训3场</w:t>
      </w:r>
      <w:r>
        <w:rPr>
          <w:rFonts w:hint="eastAsia" w:ascii="仿宋_GB2312" w:hAnsi="仿宋_GB2312" w:eastAsia="仿宋_GB2312" w:cs="仿宋_GB2312"/>
          <w:sz w:val="34"/>
          <w:szCs w:val="34"/>
          <w:lang w:val="en-US"/>
        </w:rPr>
        <w:t>，内容涵盖《民法典》《土地管理法》《行政处罚法》等实用法律，</w:t>
      </w:r>
      <w:r>
        <w:rPr>
          <w:rFonts w:hint="default" w:ascii="Times New Roman" w:hAnsi="Times New Roman" w:eastAsia="仿宋_GB2312" w:cs="Times New Roman"/>
          <w:sz w:val="34"/>
          <w:szCs w:val="34"/>
          <w:lang w:val="en-US"/>
        </w:rPr>
        <w:t>累计培训420余人次，有</w:t>
      </w:r>
      <w:r>
        <w:rPr>
          <w:rFonts w:hint="eastAsia" w:ascii="仿宋_GB2312" w:hAnsi="仿宋_GB2312" w:eastAsia="仿宋_GB2312" w:cs="仿宋_GB2312"/>
          <w:sz w:val="34"/>
          <w:szCs w:val="34"/>
          <w:lang w:val="en-US"/>
        </w:rPr>
        <w:t>效提升基层干部依法行政能力。</w:t>
      </w:r>
    </w:p>
    <w:p w14:paraId="09C40E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楷体_GB2312" w:hAnsi="楷体_GB2312" w:eastAsia="楷体_GB2312" w:cs="楷体_GB2312"/>
          <w:sz w:val="34"/>
          <w:szCs w:val="34"/>
          <w:lang w:val="en-US"/>
        </w:rPr>
      </w:pPr>
      <w:r>
        <w:rPr>
          <w:rFonts w:hint="eastAsia" w:ascii="楷体_GB2312" w:hAnsi="楷体_GB2312" w:eastAsia="楷体_GB2312" w:cs="楷体_GB2312"/>
          <w:sz w:val="34"/>
          <w:szCs w:val="34"/>
          <w:lang w:val="en-US"/>
        </w:rPr>
        <w:t>（二）深化普法宣传教育，营造法治氛围</w:t>
      </w:r>
    </w:p>
    <w:p w14:paraId="CF85D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34"/>
          <w:szCs w:val="34"/>
          <w:lang w:val="en-US"/>
        </w:rPr>
        <w:t>一是</w:t>
      </w:r>
      <w:r>
        <w:rPr>
          <w:rFonts w:hint="eastAsia" w:ascii="仿宋_GB2312" w:hAnsi="仿宋_GB2312" w:eastAsia="仿宋_GB2312" w:cs="仿宋_GB2312"/>
          <w:sz w:val="34"/>
          <w:szCs w:val="34"/>
          <w:lang w:val="en-US"/>
        </w:rPr>
        <w:t>搭建“线上+线下”普法平台。线下依托各村文化广场、各村法治宣传栏，定期更新普法内容，重点围绕与群众生活密切相关的法律法规开展常态化宣传；线上充分运用镇政府公众号、村微信群等载体，持续推送法治短视频、法律常识小贴士，扩大普法覆盖面，让群众便捷获取法律知识。</w:t>
      </w:r>
      <w:r>
        <w:rPr>
          <w:rFonts w:hint="eastAsia" w:ascii="仿宋_GB2312" w:hAnsi="仿宋_GB2312" w:eastAsia="仿宋_GB2312" w:cs="仿宋_GB2312"/>
          <w:b/>
          <w:bCs/>
          <w:sz w:val="34"/>
          <w:szCs w:val="34"/>
          <w:lang w:val="en-US"/>
        </w:rPr>
        <w:t>二是</w:t>
      </w:r>
      <w:r>
        <w:rPr>
          <w:rFonts w:hint="eastAsia" w:ascii="仿宋_GB2312" w:hAnsi="仿宋_GB2312" w:eastAsia="仿宋_GB2312" w:cs="仿宋_GB2312"/>
          <w:sz w:val="34"/>
          <w:szCs w:val="34"/>
          <w:lang w:val="en-US"/>
        </w:rPr>
        <w:t>聚焦重点人群普法。针对老年人、留守妇女等群体的需求特点，精准推送防诈骗、防养老陷阱等专项法律知识，通过通俗解读、案例警示等方式，提升重点人群的法治意识和自我保护能力。</w:t>
      </w:r>
    </w:p>
    <w:p w14:paraId="156C58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楷体_GB2312" w:hAnsi="楷体_GB2312" w:eastAsia="楷体_GB2312" w:cs="楷体_GB2312"/>
          <w:sz w:val="34"/>
          <w:szCs w:val="34"/>
          <w:lang w:val="en-US"/>
        </w:rPr>
      </w:pPr>
      <w:r>
        <w:rPr>
          <w:rFonts w:hint="eastAsia" w:ascii="楷体_GB2312" w:hAnsi="楷体_GB2312" w:eastAsia="楷体_GB2312" w:cs="楷体_GB2312"/>
          <w:sz w:val="34"/>
          <w:szCs w:val="34"/>
          <w:lang w:val="en-US"/>
        </w:rPr>
        <w:t>（三）强化矛盾纠纷化解，维护社会稳定</w:t>
      </w:r>
    </w:p>
    <w:p w14:paraId="72FF55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34"/>
          <w:szCs w:val="34"/>
          <w:lang w:val="en-US"/>
        </w:rPr>
        <w:t>一是</w:t>
      </w:r>
      <w:r>
        <w:rPr>
          <w:rFonts w:hint="eastAsia" w:ascii="仿宋_GB2312" w:hAnsi="仿宋_GB2312" w:eastAsia="仿宋_GB2312" w:cs="仿宋_GB2312"/>
          <w:sz w:val="34"/>
          <w:szCs w:val="34"/>
          <w:lang w:val="en-US"/>
        </w:rPr>
        <w:t>聚焦重点矛盾化解。针对征地拆迁、邻里纠纷、婚姻家庭矛盾等高频纠纷，实行“一案一策”，全年共受理各类矛盾纠纷</w:t>
      </w:r>
      <w:r>
        <w:rPr>
          <w:rFonts w:hint="default" w:ascii="Times New Roman" w:hAnsi="Times New Roman" w:eastAsia="仿宋_GB2312" w:cs="Times New Roman"/>
          <w:sz w:val="34"/>
          <w:szCs w:val="34"/>
          <w:lang w:val="en-US"/>
        </w:rPr>
        <w:t>93件，成功调解93件，调解成功率达100</w:t>
      </w:r>
      <w:r>
        <w:rPr>
          <w:rFonts w:hint="eastAsia" w:ascii="仿宋_GB2312" w:hAnsi="仿宋_GB2312" w:eastAsia="仿宋_GB2312" w:cs="仿宋_GB2312"/>
          <w:sz w:val="34"/>
          <w:szCs w:val="34"/>
          <w:lang w:val="en-US"/>
        </w:rPr>
        <w:t>%；其中化解信访积案</w:t>
      </w:r>
      <w:r>
        <w:rPr>
          <w:rFonts w:hint="default" w:ascii="Times New Roman" w:hAnsi="Times New Roman" w:eastAsia="仿宋_GB2312" w:cs="Times New Roman"/>
          <w:sz w:val="34"/>
          <w:szCs w:val="34"/>
          <w:lang w:val="en-US"/>
        </w:rPr>
        <w:t>1</w:t>
      </w:r>
      <w:r>
        <w:rPr>
          <w:rFonts w:hint="eastAsia" w:ascii="仿宋_GB2312" w:hAnsi="仿宋_GB2312" w:eastAsia="仿宋_GB2312" w:cs="仿宋_GB2312"/>
          <w:sz w:val="34"/>
          <w:szCs w:val="34"/>
          <w:lang w:val="en-US"/>
        </w:rPr>
        <w:t>件，均与当事人达成和解协议，无越级上访、重复上访问题。</w:t>
      </w:r>
      <w:r>
        <w:rPr>
          <w:rFonts w:hint="eastAsia" w:ascii="仿宋_GB2312" w:hAnsi="仿宋_GB2312" w:eastAsia="仿宋_GB2312" w:cs="仿宋_GB2312"/>
          <w:b/>
          <w:bCs/>
          <w:sz w:val="34"/>
          <w:szCs w:val="34"/>
          <w:lang w:val="en-US"/>
        </w:rPr>
        <w:t>二是</w:t>
      </w:r>
      <w:r>
        <w:rPr>
          <w:rFonts w:hint="eastAsia" w:ascii="仿宋_GB2312" w:hAnsi="仿宋_GB2312" w:eastAsia="仿宋_GB2312" w:cs="仿宋_GB2312"/>
          <w:sz w:val="34"/>
          <w:szCs w:val="34"/>
          <w:lang w:val="en-US"/>
        </w:rPr>
        <w:t>推动“调解+法治”融合。在调解过程中同步开展普法教育，向当事人讲解相关法律规定，引导群众“办事依法、遇事找法”；对调解不成的纠纷，及时引导通过诉讼、仲裁等合法途径解决，有效避免矛盾升级。</w:t>
      </w:r>
    </w:p>
    <w:p w14:paraId="6C2B1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黑体" w:hAnsi="黑体" w:eastAsia="黑体" w:cs="黑体"/>
          <w:sz w:val="34"/>
          <w:szCs w:val="34"/>
          <w:lang w:val="en-US"/>
        </w:rPr>
      </w:pPr>
      <w:r>
        <w:rPr>
          <w:rFonts w:hint="eastAsia" w:ascii="黑体" w:hAnsi="黑体" w:eastAsia="黑体" w:cs="黑体"/>
          <w:sz w:val="34"/>
          <w:szCs w:val="34"/>
          <w:lang w:val="en-US"/>
        </w:rPr>
        <w:t>二、存在的问题和不足</w:t>
      </w:r>
    </w:p>
    <w:p w14:paraId="4858D9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楷体_GB2312" w:hAnsi="楷体_GB2312" w:eastAsia="楷体_GB2312" w:cs="楷体_GB2312"/>
          <w:sz w:val="34"/>
          <w:szCs w:val="34"/>
          <w:lang w:val="en-US"/>
        </w:rPr>
      </w:pPr>
      <w:r>
        <w:rPr>
          <w:rFonts w:hint="eastAsia" w:ascii="楷体_GB2312" w:hAnsi="楷体_GB2312" w:eastAsia="楷体_GB2312" w:cs="楷体_GB2312"/>
          <w:sz w:val="34"/>
          <w:szCs w:val="34"/>
          <w:lang w:val="en-US"/>
        </w:rPr>
        <w:t>（一）法治工作队伍能力有待提升</w:t>
      </w:r>
    </w:p>
    <w:p w14:paraId="E50988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lang w:val="en-US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/>
        </w:rPr>
        <w:t>镇、村两级法治工作人员多为兼职，缺乏系统的法律专业培训，面对复杂执法案件、疑难矛盾纠纷时，专业判断能力、法律适用能力仍有欠缺；专职法治人才引育难度大，现有人员难以完全满足镇域法治建设多样化需求。</w:t>
      </w:r>
    </w:p>
    <w:p w14:paraId="573FE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楷体_GB2312" w:hAnsi="楷体_GB2312" w:eastAsia="楷体_GB2312" w:cs="楷体_GB2312"/>
          <w:sz w:val="34"/>
          <w:szCs w:val="34"/>
          <w:lang w:val="en-US"/>
        </w:rPr>
      </w:pPr>
      <w:r>
        <w:rPr>
          <w:rFonts w:hint="eastAsia" w:ascii="楷体_GB2312" w:hAnsi="楷体_GB2312" w:eastAsia="楷体_GB2312" w:cs="楷体_GB2312"/>
          <w:sz w:val="34"/>
          <w:szCs w:val="34"/>
          <w:lang w:val="en-US"/>
        </w:rPr>
        <w:t>（二）普法宣传精准度仍需加强</w:t>
      </w:r>
    </w:p>
    <w:p w14:paraId="36D73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lang w:val="en-US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/>
        </w:rPr>
        <w:t>当前普法宣传多以“广覆盖”为主，针对不同群体的个性化普法不足；部分村普法形式仍较单一，线上宣传内容的互动性、吸引力不够，导致部分群众对法律知识的理解不深、运用能力不强。</w:t>
      </w:r>
    </w:p>
    <w:p w14:paraId="01CADA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楷体_GB2312" w:hAnsi="楷体_GB2312" w:eastAsia="楷体_GB2312" w:cs="楷体_GB2312"/>
          <w:sz w:val="34"/>
          <w:szCs w:val="34"/>
          <w:lang w:val="en-US"/>
        </w:rPr>
      </w:pPr>
      <w:r>
        <w:rPr>
          <w:rFonts w:hint="eastAsia" w:ascii="楷体_GB2312" w:hAnsi="楷体_GB2312" w:eastAsia="楷体_GB2312" w:cs="楷体_GB2312"/>
          <w:sz w:val="34"/>
          <w:szCs w:val="34"/>
          <w:lang w:val="en-US"/>
        </w:rPr>
        <w:t>（三）法治建设与乡村治理融合不够深入</w:t>
      </w:r>
    </w:p>
    <w:p w14:paraId="7ADB70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lang w:val="en-US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/>
        </w:rPr>
        <w:t>部分村仍存在“以情代法、以罚代管”的情况，将法治建设与村规民约修订、村级事务管理结合不够紧密；群众主动参与法治建设的意识有待提升，“法治村民”主体作用发挥不充分。</w:t>
      </w:r>
    </w:p>
    <w:p w14:paraId="DECC6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黑体" w:hAnsi="黑体" w:eastAsia="黑体" w:cs="黑体"/>
          <w:sz w:val="34"/>
          <w:szCs w:val="34"/>
          <w:lang w:val="en-US"/>
        </w:rPr>
      </w:pPr>
      <w:r>
        <w:rPr>
          <w:rFonts w:hint="eastAsia" w:ascii="黑体" w:hAnsi="黑体" w:eastAsia="黑体" w:cs="黑体"/>
          <w:sz w:val="34"/>
          <w:szCs w:val="34"/>
          <w:lang w:val="en-US"/>
        </w:rPr>
        <w:t>三、党政主要负责人履行推进法治建设第一责任人职责</w:t>
      </w:r>
    </w:p>
    <w:p w14:paraId="CF64E2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楷体_GB2312" w:hAnsi="楷体_GB2312" w:eastAsia="楷体_GB2312" w:cs="楷体_GB2312"/>
          <w:sz w:val="34"/>
          <w:szCs w:val="34"/>
          <w:lang w:val="en-US"/>
        </w:rPr>
      </w:pPr>
      <w:r>
        <w:rPr>
          <w:rFonts w:hint="eastAsia" w:ascii="楷体_GB2312" w:hAnsi="楷体_GB2312" w:eastAsia="楷体_GB2312" w:cs="楷体_GB2312"/>
          <w:sz w:val="34"/>
          <w:szCs w:val="34"/>
          <w:lang w:val="en-US"/>
        </w:rPr>
        <w:t>（一）扛牢主体责任，统筹推进法治建设</w:t>
      </w:r>
    </w:p>
    <w:p w14:paraId="9B4EBB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lang w:val="en-US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/>
        </w:rPr>
        <w:t>镇党委书记、镇长始终将法治政府建设作为“一把手”工程，将法治建设纳入镇党委、政府年度重点工作清单，与经济发展、乡村振兴同部署、同推进、同考核；牵头落实重大行政决策合法性审查、执法监督等工作，对重点执法案件、疑难矛盾纠纷亲自督办，确保法治建设任务落地见效。</w:t>
      </w:r>
    </w:p>
    <w:p w14:paraId="CCFEEE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楷体_GB2312" w:hAnsi="楷体_GB2312" w:eastAsia="楷体_GB2312" w:cs="楷体_GB2312"/>
          <w:sz w:val="34"/>
          <w:szCs w:val="34"/>
          <w:lang w:val="en-US"/>
        </w:rPr>
      </w:pPr>
      <w:r>
        <w:rPr>
          <w:rFonts w:hint="eastAsia" w:ascii="楷体_GB2312" w:hAnsi="楷体_GB2312" w:eastAsia="楷体_GB2312" w:cs="楷体_GB2312"/>
          <w:sz w:val="34"/>
          <w:szCs w:val="34"/>
          <w:lang w:val="en-US"/>
        </w:rPr>
        <w:t>（二）带头尊法学法，发挥示范引领作用</w:t>
      </w:r>
    </w:p>
    <w:p w14:paraId="DD61E0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62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lang w:val="en-US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/>
        </w:rPr>
        <w:t>党政主要负责人带头参加县委组织的法治专题培训，全年带头学习《习近平法治思想专题摘编》《新修订法律法规汇编》等资料；在镇党委理论学习中心组学习、镇村干部大会上，多次领学法律知识，带动镇、村两级干部形成“尊法学法守法用法”的良好氛围；在重大决策、重点工作推进中，主动征求法律顾问意见，确保决策符合法律规定。</w:t>
      </w:r>
    </w:p>
    <w:p w14:paraId="8DE2A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楷体_GB2312" w:hAnsi="楷体_GB2312" w:eastAsia="楷体_GB2312" w:cs="楷体_GB2312"/>
          <w:sz w:val="34"/>
          <w:szCs w:val="34"/>
          <w:lang w:val="en-US"/>
        </w:rPr>
      </w:pPr>
      <w:r>
        <w:rPr>
          <w:rFonts w:hint="eastAsia" w:ascii="楷体_GB2312" w:hAnsi="楷体_GB2312" w:eastAsia="楷体_GB2312" w:cs="楷体_GB2312"/>
          <w:sz w:val="34"/>
          <w:szCs w:val="34"/>
          <w:lang w:val="en-US"/>
        </w:rPr>
        <w:t>（三）压实属地责任，督促任务落地</w:t>
      </w:r>
    </w:p>
    <w:p w14:paraId="3D074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lang w:val="en-US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/>
        </w:rPr>
        <w:t>党政主要负责人定期对村、镇直部门法治建设工作开展监督；将法治建设成效纳入村干部绩效考核，对法治建设工作推进不力的进行谈话，倒逼责任落实，为法治政府建设提供保障。</w:t>
      </w:r>
    </w:p>
    <w:p w14:paraId="905F2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default" w:ascii="Times New Roman" w:hAnsi="Times New Roman" w:eastAsia="黑体" w:cs="Times New Roman"/>
          <w:sz w:val="34"/>
          <w:szCs w:val="34"/>
          <w:lang w:val="en-US"/>
        </w:rPr>
      </w:pPr>
      <w:r>
        <w:rPr>
          <w:rFonts w:hint="default" w:ascii="Times New Roman" w:hAnsi="Times New Roman" w:eastAsia="黑体" w:cs="Times New Roman"/>
          <w:sz w:val="34"/>
          <w:szCs w:val="34"/>
          <w:lang w:val="en-US"/>
        </w:rPr>
        <w:t>四、2026年度主要工作安排</w:t>
      </w:r>
    </w:p>
    <w:p w14:paraId="AA7B45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楷体_GB2312" w:hAnsi="楷体_GB2312" w:eastAsia="楷体_GB2312" w:cs="楷体_GB2312"/>
          <w:sz w:val="34"/>
          <w:szCs w:val="34"/>
          <w:lang w:val="en-US"/>
        </w:rPr>
      </w:pPr>
      <w:r>
        <w:rPr>
          <w:rFonts w:hint="eastAsia" w:ascii="楷体_GB2312" w:hAnsi="楷体_GB2312" w:eastAsia="楷体_GB2312" w:cs="楷体_GB2312"/>
          <w:sz w:val="34"/>
          <w:szCs w:val="34"/>
          <w:lang w:val="en-US"/>
        </w:rPr>
        <w:t>（一）强化队伍建设，提升法治专业能力</w:t>
      </w:r>
    </w:p>
    <w:p w14:paraId="352DE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lang w:val="en-US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/>
        </w:rPr>
        <w:t>统筹组织镇、村两级法治工作人员参加专业培训，聚焦矛盾调解、法律适用等核心内容，靶向补齐能力短板；充分挖掘现有人员潜力，优化岗位分工，推动镇、村法治工作专人专责、高效衔接；发挥镇法律顾问专业优势，由其定期对接指导执法、调解等具体工作，以常态化专业指导提升队伍实战水平，确保法治工作规范落地。</w:t>
      </w:r>
    </w:p>
    <w:p w14:paraId="F0A42A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楷体_GB2312" w:hAnsi="楷体_GB2312" w:eastAsia="楷体_GB2312" w:cs="楷体_GB2312"/>
          <w:sz w:val="34"/>
          <w:szCs w:val="34"/>
          <w:lang w:val="en-US"/>
        </w:rPr>
      </w:pPr>
      <w:r>
        <w:rPr>
          <w:rFonts w:hint="eastAsia" w:ascii="楷体_GB2312" w:hAnsi="楷体_GB2312" w:eastAsia="楷体_GB2312" w:cs="楷体_GB2312"/>
          <w:sz w:val="34"/>
          <w:szCs w:val="34"/>
          <w:lang w:val="en-US"/>
        </w:rPr>
        <w:t>（二）精准开展普法，提升宣传实效</w:t>
      </w:r>
    </w:p>
    <w:p w14:paraId="B3E888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lang w:val="en-US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/>
        </w:rPr>
        <w:t>制定“个性化普法清单”，针对返乡创业人员、新业态从业者等群体，开展“定制化”普法服务；丰富线上普法形式，制作法治动画等内容，提升群众互动参与度。</w:t>
      </w:r>
    </w:p>
    <w:p w14:paraId="BCD5F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楷体_GB2312" w:hAnsi="楷体_GB2312" w:eastAsia="楷体_GB2312" w:cs="楷体_GB2312"/>
          <w:sz w:val="34"/>
          <w:szCs w:val="34"/>
          <w:lang w:val="en-US"/>
        </w:rPr>
      </w:pPr>
      <w:r>
        <w:rPr>
          <w:rFonts w:hint="eastAsia" w:ascii="楷体_GB2312" w:hAnsi="楷体_GB2312" w:eastAsia="楷体_GB2312" w:cs="楷体_GB2312"/>
          <w:sz w:val="34"/>
          <w:szCs w:val="34"/>
          <w:lang w:val="en-US"/>
        </w:rPr>
        <w:t>（三）深化法治融合，服务乡村振兴</w:t>
      </w:r>
    </w:p>
    <w:p w14:paraId="EA50D6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lang w:val="en-US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/>
        </w:rPr>
        <w:t>推动法治建设与村规民约修订结合，指导各村修订符合法律规定、贴合村情实际的村规民约，将法治要求融入村级事务管理；鼓励各村建立“群众参与法治建设”激励机制，通过积分奖励等方式，引导群众主动参与普法宣传、矛盾调解，形成“共建共治共享”的法治建设格局。</w:t>
      </w:r>
    </w:p>
    <w:p w14:paraId="009022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2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lang w:val="en-US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/>
        </w:rPr>
        <w:t>下一步，伊通镇将以问题为导向，以需求为目标，持续深化习近平法治思想学习贯彻，补短板、强弱项、提质效，切实将法治政府建设成效转化为镇域治理效能，为实现乡村振兴、伊通高质量发展提供更加坚实的法治保障。</w:t>
      </w:r>
    </w:p>
    <w:p w14:paraId="AA240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958" w:firstLineChars="18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/>
        </w:rPr>
        <w:t xml:space="preserve"> </w:t>
      </w:r>
      <w:bookmarkStart w:id="0" w:name="_GoBack"/>
      <w:bookmarkEnd w:id="0"/>
    </w:p>
    <w:sectPr>
      <w:footerReference r:id="rId3" w:type="default"/>
      <w:pgSz w:w="11906" w:h="16838"/>
      <w:pgMar w:top="2098" w:right="1531" w:bottom="1984" w:left="1531" w:header="851" w:footer="992" w:gutter="0"/>
      <w:pgNumType w:fmt="decimal"/>
      <w:cols w:space="0" w:num="1"/>
      <w:rtlGutter w:val="0"/>
      <w:docGrid w:type="linesAndChars" w:linePitch="579" w:charSpace="-18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C35795B4-E62E-4A08-B74B-7D2A1E6AA4A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6652667-2862-491B-9BEA-0B27B9A87B5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750D0540-5965-4A43-9A85-683FC455B620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F68E4C36-B71F-4F60-B4CC-C5A93A59C87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407ED668-50C4-4F58-9851-F8F62ACFA7DB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525C64E3-014B-4A4A-8F92-708483CCF55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50759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F2E8C9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F2E8C9">
                    <w:pPr>
                      <w:pStyle w:val="2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HorizontalSpacing w:val="101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74A328B"/>
    <w:rsid w:val="5F6748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2197</Words>
  <Characters>2221</Characters>
  <Paragraphs>36</Paragraphs>
  <TotalTime>15</TotalTime>
  <ScaleCrop>false</ScaleCrop>
  <LinksUpToDate>false</LinksUpToDate>
  <CharactersWithSpaces>2222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2025-10-24T05:14:00Z</dcterms:created>
  <dc:creator>2410DPN6CC</dc:creator>
  <cp:lastModifiedBy>A  . 赱赱檤，銩ㄋ</cp:lastModifiedBy>
  <dcterms:modified xsi:type="dcterms:W3CDTF">2025-10-28T06:46:44Z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BA21F19533AE4F34A0869641E441CA73_13</vt:lpwstr>
  </property>
  <property fmtid="{D5CDD505-2E9C-101B-9397-08002B2CF9AE}" pid="3" name="KSOTemplateDocerSaveRecord">
    <vt:lpwstr>eyJoZGlkIjoiZmNiYzhjOGM1OGQ5MWQ2NTkxMmUyMTVlYThmYWMyZGQiLCJ1c2VySWQiOiIyMzg2NjM5ODMifQ==</vt:lpwstr>
  </property>
  <property fmtid="{D5CDD505-2E9C-101B-9397-08002B2CF9AE}" pid="4" name="KSOProductBuildVer">
    <vt:lpwstr>2052-12.1.0.23125</vt:lpwstr>
  </property>
</Properties>
</file>