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center"/>
        <w:rPr>
          <w:rFonts w:hint="eastAsia" w:asciiTheme="majorEastAsia" w:hAnsiTheme="majorEastAsia" w:eastAsiaTheme="majorEastAsia" w:cstheme="majorEastAsia"/>
          <w:b/>
          <w:bCs/>
          <w:i w:val="0"/>
          <w:caps w:val="0"/>
          <w:color w:val="000000"/>
          <w:spacing w:val="0"/>
          <w:sz w:val="44"/>
          <w:szCs w:val="44"/>
          <w:u w:val="none"/>
        </w:rPr>
      </w:pPr>
      <w:r>
        <w:rPr>
          <w:rFonts w:hint="eastAsia" w:asciiTheme="majorEastAsia" w:hAnsiTheme="majorEastAsia" w:eastAsiaTheme="majorEastAsia" w:cstheme="majorEastAsia"/>
          <w:b/>
          <w:bCs/>
          <w:i w:val="0"/>
          <w:caps w:val="0"/>
          <w:color w:val="000000"/>
          <w:spacing w:val="0"/>
          <w:sz w:val="44"/>
          <w:szCs w:val="44"/>
          <w:u w:val="none"/>
          <w:shd w:val="clear" w:fill="FFFFFF"/>
          <w:lang w:eastAsia="zh-CN"/>
        </w:rPr>
        <w:t>伊通满族自治县</w:t>
      </w:r>
      <w:r>
        <w:rPr>
          <w:rFonts w:hint="eastAsia" w:asciiTheme="majorEastAsia" w:hAnsiTheme="majorEastAsia" w:eastAsiaTheme="majorEastAsia" w:cstheme="majorEastAsia"/>
          <w:b/>
          <w:bCs/>
          <w:i w:val="0"/>
          <w:caps w:val="0"/>
          <w:color w:val="000000"/>
          <w:spacing w:val="0"/>
          <w:sz w:val="44"/>
          <w:szCs w:val="44"/>
          <w:u w:val="none"/>
          <w:shd w:val="clear" w:fill="FFFFFF"/>
        </w:rPr>
        <w:t>应急管理局音像记录事项清单</w:t>
      </w:r>
    </w:p>
    <w:tbl>
      <w:tblPr>
        <w:tblStyle w:val="3"/>
        <w:tblpPr w:leftFromText="180" w:rightFromText="180" w:vertAnchor="text" w:horzAnchor="page" w:tblpX="1433" w:tblpY="609"/>
        <w:tblOverlap w:val="never"/>
        <w:tblW w:w="14145"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90"/>
        <w:gridCol w:w="1485"/>
        <w:gridCol w:w="1590"/>
        <w:gridCol w:w="1455"/>
        <w:gridCol w:w="1260"/>
        <w:gridCol w:w="5400"/>
        <w:gridCol w:w="226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rPr>
                <w:rFonts w:hint="eastAsia" w:ascii="仿宋" w:hAnsi="仿宋" w:eastAsia="仿宋" w:cs="仿宋"/>
                <w:b/>
                <w:bCs/>
                <w:sz w:val="28"/>
                <w:szCs w:val="28"/>
                <w:u w:val="none"/>
              </w:rPr>
            </w:pPr>
            <w:r>
              <w:rPr>
                <w:rFonts w:hint="eastAsia" w:ascii="仿宋" w:hAnsi="仿宋" w:eastAsia="仿宋" w:cs="仿宋"/>
                <w:b/>
                <w:bCs/>
                <w:i w:val="0"/>
                <w:caps w:val="0"/>
                <w:color w:val="000000"/>
                <w:spacing w:val="0"/>
                <w:sz w:val="28"/>
                <w:szCs w:val="28"/>
                <w:u w:val="none"/>
              </w:rPr>
              <w:t>序号</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rPr>
                <w:rFonts w:hint="eastAsia" w:ascii="仿宋" w:hAnsi="仿宋" w:eastAsia="仿宋" w:cs="仿宋"/>
                <w:b/>
                <w:bCs/>
                <w:sz w:val="28"/>
                <w:szCs w:val="28"/>
                <w:u w:val="none"/>
              </w:rPr>
            </w:pPr>
            <w:r>
              <w:rPr>
                <w:rFonts w:hint="eastAsia" w:ascii="仿宋" w:hAnsi="仿宋" w:eastAsia="仿宋" w:cs="仿宋"/>
                <w:b/>
                <w:bCs/>
                <w:i w:val="0"/>
                <w:caps w:val="0"/>
                <w:color w:val="000000"/>
                <w:spacing w:val="0"/>
                <w:sz w:val="28"/>
                <w:szCs w:val="28"/>
                <w:u w:val="none"/>
              </w:rPr>
              <w:t>执法环节</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rPr>
                <w:rFonts w:hint="eastAsia" w:ascii="仿宋" w:hAnsi="仿宋" w:eastAsia="仿宋" w:cs="仿宋"/>
                <w:b/>
                <w:bCs/>
                <w:sz w:val="28"/>
                <w:szCs w:val="28"/>
                <w:u w:val="none"/>
              </w:rPr>
            </w:pPr>
            <w:r>
              <w:rPr>
                <w:rFonts w:hint="eastAsia" w:ascii="仿宋" w:hAnsi="仿宋" w:eastAsia="仿宋" w:cs="仿宋"/>
                <w:b/>
                <w:bCs/>
                <w:i w:val="0"/>
                <w:caps w:val="0"/>
                <w:color w:val="000000"/>
                <w:spacing w:val="0"/>
                <w:sz w:val="28"/>
                <w:szCs w:val="28"/>
                <w:u w:val="none"/>
              </w:rPr>
              <w:t>执法活动</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rPr>
                <w:rFonts w:hint="eastAsia" w:ascii="仿宋" w:hAnsi="仿宋" w:eastAsia="仿宋" w:cs="仿宋"/>
                <w:b/>
                <w:bCs/>
                <w:sz w:val="28"/>
                <w:szCs w:val="28"/>
                <w:u w:val="none"/>
              </w:rPr>
            </w:pPr>
            <w:r>
              <w:rPr>
                <w:rFonts w:hint="eastAsia" w:ascii="仿宋" w:hAnsi="仿宋" w:eastAsia="仿宋" w:cs="仿宋"/>
                <w:b/>
                <w:bCs/>
                <w:i w:val="0"/>
                <w:caps w:val="0"/>
                <w:color w:val="000000"/>
                <w:spacing w:val="0"/>
                <w:sz w:val="28"/>
                <w:szCs w:val="28"/>
                <w:u w:val="none"/>
              </w:rPr>
              <w:t>执法场所</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rPr>
                <w:rFonts w:hint="eastAsia" w:ascii="仿宋" w:hAnsi="仿宋" w:eastAsia="仿宋" w:cs="仿宋"/>
                <w:b/>
                <w:bCs/>
                <w:sz w:val="28"/>
                <w:szCs w:val="28"/>
                <w:u w:val="none"/>
              </w:rPr>
            </w:pPr>
            <w:r>
              <w:rPr>
                <w:rFonts w:hint="eastAsia" w:ascii="仿宋" w:hAnsi="仿宋" w:eastAsia="仿宋" w:cs="仿宋"/>
                <w:b/>
                <w:bCs/>
                <w:i w:val="0"/>
                <w:caps w:val="0"/>
                <w:color w:val="000000"/>
                <w:spacing w:val="0"/>
                <w:sz w:val="28"/>
                <w:szCs w:val="28"/>
                <w:u w:val="none"/>
              </w:rPr>
              <w:t>记录方式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rPr>
                <w:rFonts w:hint="eastAsia" w:ascii="仿宋" w:hAnsi="仿宋" w:eastAsia="仿宋" w:cs="仿宋"/>
                <w:b/>
                <w:bCs/>
                <w:sz w:val="28"/>
                <w:szCs w:val="28"/>
                <w:u w:val="none"/>
              </w:rPr>
            </w:pPr>
            <w:r>
              <w:rPr>
                <w:rFonts w:hint="eastAsia" w:ascii="仿宋" w:hAnsi="仿宋" w:eastAsia="仿宋" w:cs="仿宋"/>
                <w:b/>
                <w:bCs/>
                <w:i w:val="0"/>
                <w:caps w:val="0"/>
                <w:color w:val="000000"/>
                <w:spacing w:val="0"/>
                <w:sz w:val="28"/>
                <w:szCs w:val="28"/>
                <w:u w:val="none"/>
              </w:rPr>
              <w:t>记录内容</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rPr>
                <w:rFonts w:hint="eastAsia" w:ascii="仿宋" w:hAnsi="仿宋" w:eastAsia="仿宋" w:cs="仿宋"/>
                <w:b/>
                <w:bCs/>
                <w:sz w:val="28"/>
                <w:szCs w:val="28"/>
                <w:u w:val="none"/>
              </w:rPr>
            </w:pPr>
            <w:r>
              <w:rPr>
                <w:rFonts w:hint="eastAsia" w:ascii="仿宋" w:hAnsi="仿宋" w:eastAsia="仿宋" w:cs="仿宋"/>
                <w:b/>
                <w:bCs/>
                <w:i w:val="0"/>
                <w:caps w:val="0"/>
                <w:color w:val="000000"/>
                <w:spacing w:val="0"/>
                <w:sz w:val="28"/>
                <w:szCs w:val="28"/>
                <w:u w:val="none"/>
              </w:rPr>
              <w:t>备注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1"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1</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现场检查</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向被检查对象告知执法目的</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执法现场</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录音或录像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向被检查对象告知执法目的、意义、重点及相关要求，并使用“我们是</w:t>
            </w:r>
            <w:r>
              <w:rPr>
                <w:rFonts w:hint="eastAsia" w:ascii="仿宋" w:hAnsi="仿宋" w:cs="仿宋"/>
                <w:i w:val="0"/>
                <w:caps w:val="0"/>
                <w:color w:val="000000"/>
                <w:spacing w:val="0"/>
                <w:sz w:val="28"/>
                <w:szCs w:val="28"/>
                <w:u w:val="none"/>
                <w:lang w:eastAsia="zh-CN"/>
              </w:rPr>
              <w:t>伊通县</w:t>
            </w:r>
            <w:bookmarkStart w:id="0" w:name="_GoBack"/>
            <w:bookmarkEnd w:id="0"/>
            <w:r>
              <w:rPr>
                <w:rFonts w:hint="eastAsia" w:ascii="仿宋" w:hAnsi="仿宋" w:eastAsia="仿宋" w:cs="仿宋"/>
                <w:i w:val="0"/>
                <w:caps w:val="0"/>
                <w:color w:val="000000"/>
                <w:spacing w:val="0"/>
                <w:sz w:val="28"/>
                <w:szCs w:val="28"/>
                <w:u w:val="none"/>
              </w:rPr>
              <w:t>应急管理局的行政执法人员 × × × 、× × × ，证件号码为× × × × 、 × × × ×，这是我们的证件。现依法对你单位进行监督检查，请予以配合”等规范用语的过程</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855"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2</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现场检查</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实施现场检查</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执法现场</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照相或录像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安全生产行政执法人员依照《现场检查方案》，对生产经营单位的有关资料和相关生产经营场所、物品进行检查的过程</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3</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现场检查</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现场询问</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执法现场</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录音或录像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行政执法人员对当事人或证人就所需要调查的问题进行询问的过程</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6"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4</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现场检查</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按期组织复查</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执法现场</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照相或录像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从生产经营单位提出复查申请或者整改限期届满之日起10日内进行复查，企业按期完成整改达到有关法律法规规章和标准规定的要求或者未达到有关法律法规规章和标准规定的要求，以及逾期未整改的，由2名执法人员填写《复查意见书》并宣读执法文书，交付当事人，作出进一步处理的过程</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5</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组织听证</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应当事人申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请组织听证</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听证室</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录音或录像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听证当事人、第三人等现场有关人员听证时的言行举止，当事人在听证会记录上签字的过程。</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426"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6</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文书送达</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以留置方式向行政相对人送达执法文书</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受送达人办公场所或住所</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留置送达时的全景内容，包括送达时间、送达地点、送达人与受送达人、法律文书等基本要素。主要包括送达人手持法律文书和受送达人出现在同一画面中、送达人展开法律文书的特写。拍摄注意使用受送达人住所中比较特殊的人物作为背景。</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140"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7</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文书送达</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以张贴公告送达方式向行政相对人送达执法文书</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受送达人住所所在地张贴公告</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张贴公告的过程，包括张贴公告时间、张贴公告地点、公告内容等基本要素。主要包括送达人在受送达人住所所在地张贴公告的全景、公告特写。拍摄注意使用张贴公告时比较特殊的人物作为背景。</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行政处罚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8</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查封扣押决定</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向当事人告知查封扣押决定</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查封、扣押地点</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行政执法人员向有关生产经营单位宣告并送达《查封扣押决定书》的过程</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行政强制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711"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9</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查封、扣押物品核实确认</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查封涉案物品时，对拟查封物品的具体情况认真清点核实和确认。</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查封、扣押地点</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对有根据认为不符合保障安全生产的国家标准或者行业标准的设施、设备、器材以及违法生产、储存、使用、经营、运输的危险物品予以查封或者扣押，对违法生产、储存、使用、经营危险物品的作业场所予以查封，并当场清点、核实、确认，在《查封扣押（场所、设施、财物）清单》签字的过程</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行政强制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855" w:hRule="atLeast"/>
        </w:trPr>
        <w:tc>
          <w:tcPr>
            <w:tcW w:w="6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10</w:t>
            </w:r>
          </w:p>
        </w:tc>
        <w:tc>
          <w:tcPr>
            <w:tcW w:w="148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解除查封、扣押决定</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解除并清点确认查封、扣押物品</w:t>
            </w:r>
          </w:p>
        </w:tc>
        <w:tc>
          <w:tcPr>
            <w:tcW w:w="145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查封、扣押地点</w:t>
            </w:r>
          </w:p>
        </w:tc>
        <w:tc>
          <w:tcPr>
            <w:tcW w:w="126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录像</w:t>
            </w:r>
          </w:p>
        </w:tc>
        <w:tc>
          <w:tcPr>
            <w:tcW w:w="5400"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经调查后，依法解除查封扣押，当场清点、核实、确认查封扣押物品的过程</w:t>
            </w:r>
          </w:p>
        </w:tc>
        <w:tc>
          <w:tcPr>
            <w:tcW w:w="2265" w:type="dxa"/>
            <w:tcBorders>
              <w:top w:val="single" w:color="000000" w:sz="6" w:space="0"/>
              <w:left w:val="single" w:color="000000" w:sz="6" w:space="0"/>
              <w:bottom w:val="single" w:color="000000" w:sz="6" w:space="0"/>
              <w:right w:val="single" w:color="000000" w:sz="6" w:space="0"/>
            </w:tcBorders>
            <w:shd w:val="clear" w:color="auto" w:fill="auto"/>
            <w:tcMar>
              <w:top w:w="30" w:type="dxa"/>
              <w:left w:w="45" w:type="dxa"/>
              <w:bottom w:w="30" w:type="dxa"/>
              <w:right w:w="45"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 w:hAnsi="仿宋" w:eastAsia="仿宋" w:cs="仿宋"/>
                <w:sz w:val="28"/>
                <w:szCs w:val="28"/>
                <w:u w:val="none"/>
              </w:rPr>
            </w:pPr>
            <w:r>
              <w:rPr>
                <w:rFonts w:hint="eastAsia" w:ascii="仿宋" w:hAnsi="仿宋" w:eastAsia="仿宋" w:cs="仿宋"/>
                <w:i w:val="0"/>
                <w:caps w:val="0"/>
                <w:color w:val="000000"/>
                <w:spacing w:val="0"/>
                <w:sz w:val="28"/>
                <w:szCs w:val="28"/>
                <w:u w:val="none"/>
              </w:rPr>
              <w:t>行政强制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rPr>
          <w:rFonts w:hint="eastAsia" w:ascii="微软雅黑" w:hAnsi="微软雅黑" w:eastAsia="微软雅黑" w:cs="微软雅黑"/>
          <w:i w:val="0"/>
          <w:caps w:val="0"/>
          <w:color w:val="000000"/>
          <w:spacing w:val="0"/>
          <w:sz w:val="21"/>
          <w:szCs w:val="21"/>
          <w:u w:val="none"/>
        </w:rPr>
      </w:pPr>
      <w:r>
        <w:rPr>
          <w:rFonts w:hint="eastAsia" w:ascii="微软雅黑" w:hAnsi="微软雅黑" w:eastAsia="微软雅黑" w:cs="微软雅黑"/>
          <w:i w:val="0"/>
          <w:caps w:val="0"/>
          <w:color w:val="000000"/>
          <w:spacing w:val="0"/>
          <w:sz w:val="21"/>
          <w:szCs w:val="21"/>
          <w:u w:val="none"/>
          <w:shd w:val="clear" w:fill="FFFFFF"/>
        </w:rPr>
        <w:t> </w:t>
      </w:r>
    </w:p>
    <w:p/>
    <w:sectPr>
      <w:pgSz w:w="16838" w:h="11906" w:orient="landscape"/>
      <w:pgMar w:top="1800" w:right="1440" w:bottom="1800" w:left="144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1077E"/>
    <w:rsid w:val="0CC1077E"/>
    <w:rsid w:val="180B17EE"/>
    <w:rsid w:val="19A82B03"/>
    <w:rsid w:val="64A942F9"/>
    <w:rsid w:val="7D721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cs="仿宋" w:asciiTheme="minorHAnsi" w:hAnsiTheme="minorHAnsi"/>
      <w:kern w:val="2"/>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spsajj</Company>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2020-03-12T00:41:00Z</dcterms:created>
  <dc:creator>zxs</dc:creator>
  <cp:lastModifiedBy>宏峰</cp:lastModifiedBy>
  <dcterms:modified xsi:type="dcterms:W3CDTF">2020-09-03T01:10:53Z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