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商务局重大执法决定法制审核清单</w:t>
      </w:r>
    </w:p>
    <w:p>
      <w:pPr>
        <w:spacing w:line="6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填表单位：商务局                          主要领导签字：</w:t>
      </w:r>
    </w:p>
    <w:tbl>
      <w:tblPr>
        <w:tblStyle w:val="5"/>
        <w:tblW w:w="10908" w:type="dxa"/>
        <w:tblInd w:w="-1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1584"/>
        <w:gridCol w:w="1488"/>
        <w:gridCol w:w="1500"/>
        <w:gridCol w:w="1536"/>
        <w:gridCol w:w="170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执法类别</w:t>
            </w:r>
          </w:p>
        </w:tc>
        <w:tc>
          <w:tcPr>
            <w:tcW w:w="158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具体执法决定项目</w:t>
            </w:r>
          </w:p>
        </w:tc>
        <w:tc>
          <w:tcPr>
            <w:tcW w:w="1488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执法依据</w:t>
            </w:r>
          </w:p>
        </w:tc>
        <w:tc>
          <w:tcPr>
            <w:tcW w:w="1500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承办机构</w:t>
            </w:r>
          </w:p>
        </w:tc>
        <w:tc>
          <w:tcPr>
            <w:tcW w:w="1536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应提交的审核资料</w:t>
            </w:r>
          </w:p>
        </w:tc>
        <w:tc>
          <w:tcPr>
            <w:tcW w:w="17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审核重点</w:t>
            </w: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行政许可</w:t>
            </w:r>
          </w:p>
        </w:tc>
        <w:tc>
          <w:tcPr>
            <w:tcW w:w="1584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不予行政许可、撤销行政许可或依法应组织听证的行政许可</w:t>
            </w:r>
          </w:p>
        </w:tc>
        <w:tc>
          <w:tcPr>
            <w:tcW w:w="1488" w:type="dxa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《中华人民共和国对外贸易法》，《对外贸易经营者备案登记办法》，《对外劳务合作经营资格管理办法》，《对外劳务合作管理条例》，《单用途商业预付卡管理办法（试行）》，《再生资源回收管理办法》，《外商投资企业设立及变更备案管理暂行办法（修订）》，《成品油市场管理办法》，《原油市场管理办法》，《商业特许经营管理条例》，《家庭服务业管理暂行办法》，《家电维修服务业管理办法》，《废弃电器电子回收处理管理条例》，《旧电器电子产品流通管理办法》，《汽车销售管理办法》，《报废机动车回收管理办法》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安全科</w:t>
            </w: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政务窗口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</w:tc>
        <w:tc>
          <w:tcPr>
            <w:tcW w:w="1536" w:type="dxa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1704" w:type="dxa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spacing w:line="62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4" w:type="dxa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80" w:lineRule="exact"/>
        <w:jc w:val="distribute"/>
        <w:rPr>
          <w:rFonts w:ascii="仿宋" w:hAnsi="仿宋" w:eastAsia="仿宋"/>
        </w:rPr>
      </w:pPr>
      <w:r>
        <w:rPr>
          <w:rFonts w:hint="eastAsia" w:ascii="仿宋" w:hAnsi="仿宋" w:eastAsia="仿宋" w:cs="仿宋"/>
          <w:sz w:val="28"/>
          <w:szCs w:val="28"/>
        </w:rPr>
        <w:t>填表人：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    联系电话：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      填表日期：</w:t>
      </w:r>
    </w:p>
    <w:sectPr>
      <w:pgSz w:w="11906" w:h="16838"/>
      <w:pgMar w:top="149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2C5E"/>
    <w:rsid w:val="00284802"/>
    <w:rsid w:val="00413CB4"/>
    <w:rsid w:val="00441BCD"/>
    <w:rsid w:val="005A74B4"/>
    <w:rsid w:val="00B1515B"/>
    <w:rsid w:val="00E504E7"/>
    <w:rsid w:val="00FA0C6E"/>
    <w:rsid w:val="06B73C2F"/>
    <w:rsid w:val="07936962"/>
    <w:rsid w:val="198F1E0B"/>
    <w:rsid w:val="1CB74A0C"/>
    <w:rsid w:val="26DE66CA"/>
    <w:rsid w:val="3AA167D5"/>
    <w:rsid w:val="44DB2C5E"/>
    <w:rsid w:val="622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295</Words>
  <Characters>1683</Characters>
  <Lines>14</Lines>
  <Paragraphs>3</Paragraphs>
  <TotalTime>24</TotalTime>
  <ScaleCrop>false</ScaleCrop>
  <LinksUpToDate>false</LinksUpToDate>
  <CharactersWithSpaces>1975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顶尖尤里</cp:lastModifiedBy>
  <dcterms:modified xsi:type="dcterms:W3CDTF">2020-09-04T05:34:18Z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