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伊通满族自治县新闻出版局（版权局）重大执法决定法制审核清单</w:t>
      </w:r>
    </w:p>
    <w:p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填报单位：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主要领导签字：</w:t>
      </w:r>
    </w:p>
    <w:tbl>
      <w:tblPr>
        <w:tblStyle w:val="5"/>
        <w:tblpPr w:leftFromText="180" w:rightFromText="180" w:vertAnchor="text" w:horzAnchor="page" w:tblpX="758" w:tblpY="590"/>
        <w:tblOverlap w:val="never"/>
        <w:tblW w:w="15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245"/>
        <w:gridCol w:w="2625"/>
        <w:gridCol w:w="4275"/>
        <w:gridCol w:w="1260"/>
        <w:gridCol w:w="2430"/>
        <w:gridCol w:w="2295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45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执法类别</w:t>
            </w:r>
          </w:p>
        </w:tc>
        <w:tc>
          <w:tcPr>
            <w:tcW w:w="2625" w:type="dxa"/>
            <w:vAlign w:val="top"/>
          </w:tcPr>
          <w:p>
            <w:pPr>
              <w:widowControl w:val="0"/>
              <w:wordWrap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具体执法决定项目</w:t>
            </w:r>
          </w:p>
        </w:tc>
        <w:tc>
          <w:tcPr>
            <w:tcW w:w="427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执法依据</w:t>
            </w:r>
          </w:p>
        </w:tc>
        <w:tc>
          <w:tcPr>
            <w:tcW w:w="126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承办机构</w:t>
            </w:r>
          </w:p>
        </w:tc>
        <w:tc>
          <w:tcPr>
            <w:tcW w:w="2430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应提交的审核资料</w:t>
            </w:r>
          </w:p>
        </w:tc>
        <w:tc>
          <w:tcPr>
            <w:tcW w:w="229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审核重点</w:t>
            </w:r>
          </w:p>
        </w:tc>
        <w:tc>
          <w:tcPr>
            <w:tcW w:w="735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</w:trPr>
        <w:tc>
          <w:tcPr>
            <w:tcW w:w="72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45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行政处罚</w:t>
            </w:r>
          </w:p>
        </w:tc>
        <w:tc>
          <w:tcPr>
            <w:tcW w:w="262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情节复杂的案件，包括：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认定事实和证据有分歧的；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适用的法律法规难以确定的；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3.其他认为属于情节复杂的。</w:t>
            </w:r>
          </w:p>
        </w:tc>
        <w:tc>
          <w:tcPr>
            <w:tcW w:w="4275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出版管理条例》《出版物市场管理规定》《电影管理条例》《电子出版物管理规定》《复制管理办法》《内部资料性出版物管理办法》《网络出版服务管理办法》《音像制品管理条例》《印刷业管理条例》《新闻记者证管理办法》《著作权行政行罚实施办法》</w:t>
            </w:r>
          </w:p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《书刊印刷产品质量监督管理暂行办法》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新闻出版局</w:t>
            </w:r>
          </w:p>
        </w:tc>
        <w:tc>
          <w:tcPr>
            <w:tcW w:w="2430" w:type="dxa"/>
            <w:vMerge w:val="restart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72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45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行政处罚</w:t>
            </w:r>
          </w:p>
        </w:tc>
        <w:tc>
          <w:tcPr>
            <w:tcW w:w="2625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重大违法行为的案件：</w:t>
            </w:r>
          </w:p>
          <w:p>
            <w:pPr>
              <w:numPr>
                <w:ilvl w:val="0"/>
                <w:numId w:val="4"/>
              </w:numPr>
              <w:ind w:leftChars="0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违法行为性质较重或者危害较大的；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违法行为主体具有涉外因素的；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3.其他认为属于重大违法行为的。 </w:t>
            </w:r>
          </w:p>
        </w:tc>
        <w:tc>
          <w:tcPr>
            <w:tcW w:w="4275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出版管理条例》《出版物市场管理规定》《电影管理条例》《电子出版物管理规定》《复制管理办法》《内部资料性出版物管理办法》《网络出版服务管理办法》《音像制品管理条例》《印刷业管理条例》《新闻记者证管理办法》《著作权行政行罚实施办法》</w:t>
            </w:r>
          </w:p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《书刊印刷产品质量监督管理暂行办法》</w:t>
            </w:r>
          </w:p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新闻出版局</w:t>
            </w:r>
          </w:p>
        </w:tc>
        <w:tc>
          <w:tcPr>
            <w:tcW w:w="2430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3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72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45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行政处罚</w:t>
            </w:r>
          </w:p>
        </w:tc>
        <w:tc>
          <w:tcPr>
            <w:tcW w:w="2625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较重的行政处罚：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1.责令停产停业；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2.吊销许可证或者执照；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3.对公民处以二千元以上罚款，对法人或者其他组织处以一万元以上罚款。</w:t>
            </w:r>
          </w:p>
        </w:tc>
        <w:tc>
          <w:tcPr>
            <w:tcW w:w="4275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出版管理条例》《出版物市场管理规定》《电影管理条例》《电子出版物管理规定》《复制管理办法》《内部资料性出版物管理办法》《网络出版服务管理办法》《音像制品管理条例》《印刷业管理条例》《新闻记者证管理办法》《著作权行政行罚实施办法》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《书刊印刷产品质量监督管理暂行办法》</w:t>
            </w:r>
          </w:p>
        </w:tc>
        <w:tc>
          <w:tcPr>
            <w:tcW w:w="1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新闻出版局</w:t>
            </w:r>
          </w:p>
        </w:tc>
        <w:tc>
          <w:tcPr>
            <w:tcW w:w="2430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3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8" w:hRule="atLeast"/>
        </w:trPr>
        <w:tc>
          <w:tcPr>
            <w:tcW w:w="72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45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行政许可</w:t>
            </w:r>
          </w:p>
        </w:tc>
        <w:tc>
          <w:tcPr>
            <w:tcW w:w="2625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4275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出版管理条例》《出版物市场管理规定》《电影管理条例》《电子出版物管理规定》《复制管理办法》《内部资料性出版物管理办法》《网络出版服务管理办法》《音像制品管理条例》《印刷业管理条例》《新闻记者证管理办法》《著作权行政行罚实施办法》</w:t>
            </w:r>
          </w:p>
          <w:p>
            <w:pP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《书刊印刷产品质量监督管理暂行办法》</w:t>
            </w:r>
          </w:p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新闻出版局</w:t>
            </w:r>
          </w:p>
        </w:tc>
        <w:tc>
          <w:tcPr>
            <w:tcW w:w="2430" w:type="dxa"/>
            <w:vAlign w:val="center"/>
          </w:tcPr>
          <w:p>
            <w:pPr>
              <w:numPr>
                <w:ilvl w:val="0"/>
                <w:numId w:val="5"/>
              </w:num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both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295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</w:p>
          <w:p>
            <w:pPr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80" w:lineRule="exact"/>
        <w:jc w:val="left"/>
        <w:textAlignment w:val="auto"/>
      </w:pPr>
    </w:p>
    <w:sectPr>
      <w:pgSz w:w="16838" w:h="11906" w:orient="landscape"/>
      <w:pgMar w:top="720" w:right="720" w:bottom="720" w:left="72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3BDE8B"/>
    <w:multiLevelType w:val="singleLevel"/>
    <w:tmpl w:val="BA3BDE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E0E35A0"/>
    <w:multiLevelType w:val="singleLevel"/>
    <w:tmpl w:val="CE0E35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B7E592"/>
    <w:multiLevelType w:val="singleLevel"/>
    <w:tmpl w:val="EEB7E5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552DBE1"/>
    <w:multiLevelType w:val="singleLevel"/>
    <w:tmpl w:val="4552DB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9327F9E"/>
    <w:multiLevelType w:val="singleLevel"/>
    <w:tmpl w:val="49327F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4DB2C5E"/>
    <w:rsid w:val="00B55A5E"/>
    <w:rsid w:val="07936962"/>
    <w:rsid w:val="0C603CE7"/>
    <w:rsid w:val="1AC77C9D"/>
    <w:rsid w:val="32EA11C3"/>
    <w:rsid w:val="3B746BBE"/>
    <w:rsid w:val="44DB2C5E"/>
    <w:rsid w:val="59510010"/>
    <w:rsid w:val="678B540A"/>
    <w:rsid w:val="6A3066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cs="宋体"/>
      <w:color w:val="auto"/>
      <w:kern w:val="0"/>
      <w:sz w:val="24"/>
      <w:szCs w:val="24"/>
      <w:shd w:val="clear" w:color="auto" w:fill="auto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lemmatitleh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o윤丶</cp:lastModifiedBy>
  <dcterms:modified xsi:type="dcterms:W3CDTF">2020-09-03T08:55:24Z</dcterms:modified>
  <dc:title>四平市文化广播电视和旅游局重大执法决定法制审核清单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