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行政执法事项清单</w:t>
      </w:r>
    </w:p>
    <w:p>
      <w:pPr>
        <w:jc w:val="left"/>
      </w:pPr>
      <w:r>
        <w:rPr>
          <w:rFonts w:hint="eastAsia"/>
        </w:rPr>
        <w:t>填报单位：                                            主要领导签字：</w:t>
      </w:r>
    </w:p>
    <w:tbl>
      <w:tblPr>
        <w:tblStyle w:val="4"/>
        <w:tblW w:w="14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09"/>
        <w:gridCol w:w="708"/>
        <w:gridCol w:w="709"/>
        <w:gridCol w:w="1134"/>
        <w:gridCol w:w="1276"/>
        <w:gridCol w:w="992"/>
        <w:gridCol w:w="709"/>
        <w:gridCol w:w="567"/>
        <w:gridCol w:w="709"/>
        <w:gridCol w:w="1417"/>
        <w:gridCol w:w="709"/>
        <w:gridCol w:w="709"/>
        <w:gridCol w:w="992"/>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817" w:type="dxa"/>
            <w:vMerge w:val="restart"/>
            <w:vAlign w:val="center"/>
          </w:tcPr>
          <w:p>
            <w:pPr>
              <w:jc w:val="center"/>
              <w:rPr>
                <w:sz w:val="18"/>
                <w:szCs w:val="18"/>
              </w:rPr>
            </w:pPr>
            <w:r>
              <w:rPr>
                <w:rFonts w:hint="eastAsia"/>
                <w:sz w:val="18"/>
                <w:szCs w:val="18"/>
              </w:rPr>
              <w:t>项目编码</w:t>
            </w:r>
          </w:p>
        </w:tc>
        <w:tc>
          <w:tcPr>
            <w:tcW w:w="1276" w:type="dxa"/>
            <w:vMerge w:val="restart"/>
            <w:vAlign w:val="center"/>
          </w:tcPr>
          <w:p>
            <w:pPr>
              <w:jc w:val="center"/>
              <w:rPr>
                <w:sz w:val="18"/>
                <w:szCs w:val="18"/>
              </w:rPr>
            </w:pPr>
            <w:r>
              <w:rPr>
                <w:rFonts w:hint="eastAsia"/>
                <w:sz w:val="18"/>
                <w:szCs w:val="18"/>
              </w:rPr>
              <w:t>项目名称</w:t>
            </w:r>
          </w:p>
        </w:tc>
        <w:tc>
          <w:tcPr>
            <w:tcW w:w="709" w:type="dxa"/>
            <w:vMerge w:val="restart"/>
            <w:vAlign w:val="center"/>
          </w:tcPr>
          <w:p>
            <w:pPr>
              <w:jc w:val="center"/>
              <w:rPr>
                <w:sz w:val="18"/>
                <w:szCs w:val="18"/>
              </w:rPr>
            </w:pPr>
            <w:r>
              <w:rPr>
                <w:rFonts w:hint="eastAsia"/>
                <w:sz w:val="18"/>
                <w:szCs w:val="18"/>
              </w:rPr>
              <w:t>执法类别</w:t>
            </w:r>
          </w:p>
        </w:tc>
        <w:tc>
          <w:tcPr>
            <w:tcW w:w="708" w:type="dxa"/>
            <w:vMerge w:val="restart"/>
            <w:vAlign w:val="center"/>
          </w:tcPr>
          <w:p>
            <w:pPr>
              <w:jc w:val="center"/>
              <w:rPr>
                <w:sz w:val="18"/>
                <w:szCs w:val="18"/>
              </w:rPr>
            </w:pPr>
            <w:r>
              <w:rPr>
                <w:rFonts w:hint="eastAsia"/>
                <w:sz w:val="18"/>
                <w:szCs w:val="18"/>
              </w:rPr>
              <w:t>执法主体</w:t>
            </w:r>
          </w:p>
        </w:tc>
        <w:tc>
          <w:tcPr>
            <w:tcW w:w="709" w:type="dxa"/>
            <w:vMerge w:val="restart"/>
            <w:vAlign w:val="center"/>
          </w:tcPr>
          <w:p>
            <w:pPr>
              <w:jc w:val="center"/>
              <w:rPr>
                <w:sz w:val="18"/>
                <w:szCs w:val="18"/>
              </w:rPr>
            </w:pPr>
            <w:r>
              <w:rPr>
                <w:rFonts w:hint="eastAsia"/>
                <w:sz w:val="18"/>
                <w:szCs w:val="18"/>
              </w:rPr>
              <w:t>承办机构</w:t>
            </w:r>
          </w:p>
        </w:tc>
        <w:tc>
          <w:tcPr>
            <w:tcW w:w="5387" w:type="dxa"/>
            <w:gridSpan w:val="6"/>
            <w:vAlign w:val="center"/>
          </w:tcPr>
          <w:p>
            <w:pPr>
              <w:jc w:val="center"/>
              <w:rPr>
                <w:sz w:val="18"/>
                <w:szCs w:val="18"/>
              </w:rPr>
            </w:pPr>
            <w:r>
              <w:rPr>
                <w:rFonts w:hint="eastAsia"/>
                <w:sz w:val="18"/>
                <w:szCs w:val="18"/>
              </w:rPr>
              <w:t>执法依据</w:t>
            </w:r>
          </w:p>
        </w:tc>
        <w:tc>
          <w:tcPr>
            <w:tcW w:w="1417" w:type="dxa"/>
            <w:vMerge w:val="restart"/>
            <w:vAlign w:val="center"/>
          </w:tcPr>
          <w:p>
            <w:pPr>
              <w:jc w:val="center"/>
              <w:rPr>
                <w:sz w:val="18"/>
                <w:szCs w:val="18"/>
              </w:rPr>
            </w:pPr>
            <w:r>
              <w:rPr>
                <w:rFonts w:hint="eastAsia"/>
                <w:sz w:val="18"/>
                <w:szCs w:val="18"/>
              </w:rPr>
              <w:t>实施对象</w:t>
            </w:r>
          </w:p>
        </w:tc>
        <w:tc>
          <w:tcPr>
            <w:tcW w:w="1418" w:type="dxa"/>
            <w:gridSpan w:val="2"/>
            <w:vAlign w:val="center"/>
          </w:tcPr>
          <w:p>
            <w:pPr>
              <w:tabs>
                <w:tab w:val="left" w:pos="562"/>
              </w:tabs>
              <w:jc w:val="center"/>
              <w:rPr>
                <w:sz w:val="18"/>
                <w:szCs w:val="18"/>
              </w:rPr>
            </w:pPr>
            <w:r>
              <w:rPr>
                <w:rFonts w:hint="eastAsia"/>
                <w:sz w:val="18"/>
                <w:szCs w:val="18"/>
              </w:rPr>
              <w:t>办理时限</w:t>
            </w:r>
          </w:p>
        </w:tc>
        <w:tc>
          <w:tcPr>
            <w:tcW w:w="992" w:type="dxa"/>
            <w:vMerge w:val="restart"/>
            <w:vAlign w:val="center"/>
          </w:tcPr>
          <w:p>
            <w:pPr>
              <w:jc w:val="center"/>
              <w:rPr>
                <w:sz w:val="18"/>
                <w:szCs w:val="18"/>
              </w:rPr>
            </w:pPr>
            <w:r>
              <w:rPr>
                <w:rFonts w:hint="eastAsia"/>
                <w:sz w:val="18"/>
                <w:szCs w:val="18"/>
              </w:rPr>
              <w:t>收费依据和标准</w:t>
            </w:r>
          </w:p>
        </w:tc>
        <w:tc>
          <w:tcPr>
            <w:tcW w:w="917" w:type="dxa"/>
            <w:vMerge w:val="restart"/>
            <w:vAlign w:val="center"/>
          </w:tcPr>
          <w:p>
            <w:pPr>
              <w:jc w:val="center"/>
              <w:rPr>
                <w:sz w:val="18"/>
                <w:szCs w:val="18"/>
              </w:rPr>
            </w:pPr>
            <w:r>
              <w:rPr>
                <w:rFonts w:hint="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Merge w:val="continue"/>
            <w:vAlign w:val="center"/>
          </w:tcPr>
          <w:p>
            <w:pPr>
              <w:jc w:val="center"/>
              <w:rPr>
                <w:sz w:val="18"/>
                <w:szCs w:val="18"/>
              </w:rPr>
            </w:pPr>
          </w:p>
        </w:tc>
        <w:tc>
          <w:tcPr>
            <w:tcW w:w="1276" w:type="dxa"/>
            <w:vMerge w:val="continue"/>
            <w:vAlign w:val="center"/>
          </w:tcPr>
          <w:p>
            <w:pPr>
              <w:jc w:val="center"/>
              <w:rPr>
                <w:sz w:val="18"/>
                <w:szCs w:val="18"/>
              </w:rPr>
            </w:pPr>
          </w:p>
        </w:tc>
        <w:tc>
          <w:tcPr>
            <w:tcW w:w="709" w:type="dxa"/>
            <w:vMerge w:val="continue"/>
            <w:vAlign w:val="center"/>
          </w:tcPr>
          <w:p>
            <w:pPr>
              <w:jc w:val="center"/>
              <w:rPr>
                <w:sz w:val="18"/>
                <w:szCs w:val="18"/>
              </w:rPr>
            </w:pPr>
          </w:p>
        </w:tc>
        <w:tc>
          <w:tcPr>
            <w:tcW w:w="708" w:type="dxa"/>
            <w:vMerge w:val="continue"/>
            <w:vAlign w:val="center"/>
          </w:tcPr>
          <w:p>
            <w:pPr>
              <w:jc w:val="center"/>
              <w:rPr>
                <w:sz w:val="18"/>
                <w:szCs w:val="18"/>
              </w:rPr>
            </w:pPr>
          </w:p>
        </w:tc>
        <w:tc>
          <w:tcPr>
            <w:tcW w:w="709"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法律</w:t>
            </w:r>
          </w:p>
        </w:tc>
        <w:tc>
          <w:tcPr>
            <w:tcW w:w="1276" w:type="dxa"/>
            <w:vAlign w:val="center"/>
          </w:tcPr>
          <w:p>
            <w:pPr>
              <w:jc w:val="center"/>
              <w:rPr>
                <w:sz w:val="18"/>
                <w:szCs w:val="18"/>
              </w:rPr>
            </w:pPr>
            <w:r>
              <w:rPr>
                <w:rFonts w:hint="eastAsia"/>
                <w:sz w:val="18"/>
                <w:szCs w:val="18"/>
              </w:rPr>
              <w:t>行政法规</w:t>
            </w:r>
          </w:p>
        </w:tc>
        <w:tc>
          <w:tcPr>
            <w:tcW w:w="992" w:type="dxa"/>
            <w:vAlign w:val="center"/>
          </w:tcPr>
          <w:p>
            <w:pPr>
              <w:jc w:val="center"/>
              <w:rPr>
                <w:sz w:val="18"/>
                <w:szCs w:val="18"/>
              </w:rPr>
            </w:pPr>
            <w:r>
              <w:rPr>
                <w:rFonts w:hint="eastAsia"/>
                <w:sz w:val="18"/>
                <w:szCs w:val="18"/>
              </w:rPr>
              <w:t>地方性法规</w:t>
            </w:r>
          </w:p>
        </w:tc>
        <w:tc>
          <w:tcPr>
            <w:tcW w:w="709" w:type="dxa"/>
            <w:vAlign w:val="center"/>
          </w:tcPr>
          <w:p>
            <w:pPr>
              <w:jc w:val="center"/>
              <w:rPr>
                <w:sz w:val="18"/>
                <w:szCs w:val="18"/>
              </w:rPr>
            </w:pPr>
            <w:r>
              <w:rPr>
                <w:rFonts w:hint="eastAsia"/>
                <w:sz w:val="18"/>
                <w:szCs w:val="18"/>
              </w:rPr>
              <w:t>部委规章</w:t>
            </w:r>
          </w:p>
        </w:tc>
        <w:tc>
          <w:tcPr>
            <w:tcW w:w="567" w:type="dxa"/>
            <w:vAlign w:val="center"/>
          </w:tcPr>
          <w:p>
            <w:pPr>
              <w:jc w:val="center"/>
              <w:rPr>
                <w:sz w:val="18"/>
                <w:szCs w:val="18"/>
              </w:rPr>
            </w:pPr>
            <w:r>
              <w:rPr>
                <w:rFonts w:hint="eastAsia"/>
                <w:sz w:val="18"/>
                <w:szCs w:val="18"/>
              </w:rPr>
              <w:t>政府规章</w:t>
            </w:r>
          </w:p>
        </w:tc>
        <w:tc>
          <w:tcPr>
            <w:tcW w:w="709" w:type="dxa"/>
            <w:vAlign w:val="center"/>
          </w:tcPr>
          <w:p>
            <w:pPr>
              <w:jc w:val="center"/>
              <w:rPr>
                <w:sz w:val="18"/>
                <w:szCs w:val="18"/>
              </w:rPr>
            </w:pPr>
            <w:r>
              <w:rPr>
                <w:rFonts w:hint="eastAsia"/>
                <w:sz w:val="18"/>
                <w:szCs w:val="18"/>
              </w:rPr>
              <w:t>规范性文件</w:t>
            </w:r>
          </w:p>
        </w:tc>
        <w:tc>
          <w:tcPr>
            <w:tcW w:w="1417" w:type="dxa"/>
            <w:vMerge w:val="continue"/>
            <w:vAlign w:val="center"/>
          </w:tcPr>
          <w:p>
            <w:pPr>
              <w:jc w:val="center"/>
              <w:rPr>
                <w:sz w:val="18"/>
                <w:szCs w:val="18"/>
              </w:rPr>
            </w:pPr>
          </w:p>
        </w:tc>
        <w:tc>
          <w:tcPr>
            <w:tcW w:w="709" w:type="dxa"/>
            <w:vAlign w:val="center"/>
          </w:tcPr>
          <w:p>
            <w:pPr>
              <w:jc w:val="center"/>
              <w:rPr>
                <w:sz w:val="18"/>
                <w:szCs w:val="18"/>
              </w:rPr>
            </w:pPr>
            <w:r>
              <w:rPr>
                <w:rFonts w:hint="eastAsia"/>
                <w:sz w:val="18"/>
                <w:szCs w:val="18"/>
              </w:rPr>
              <w:t>法定时限工作日</w:t>
            </w:r>
          </w:p>
        </w:tc>
        <w:tc>
          <w:tcPr>
            <w:tcW w:w="709" w:type="dxa"/>
            <w:vAlign w:val="center"/>
          </w:tcPr>
          <w:p>
            <w:pPr>
              <w:jc w:val="center"/>
              <w:rPr>
                <w:sz w:val="18"/>
                <w:szCs w:val="18"/>
              </w:rPr>
            </w:pPr>
            <w:r>
              <w:rPr>
                <w:rFonts w:hint="eastAsia"/>
                <w:sz w:val="18"/>
                <w:szCs w:val="18"/>
              </w:rPr>
              <w:t>承诺时限工作日</w:t>
            </w:r>
          </w:p>
        </w:tc>
        <w:tc>
          <w:tcPr>
            <w:tcW w:w="992" w:type="dxa"/>
            <w:vMerge w:val="continue"/>
            <w:vAlign w:val="center"/>
          </w:tcPr>
          <w:p>
            <w:pPr>
              <w:jc w:val="center"/>
              <w:rPr>
                <w:sz w:val="18"/>
                <w:szCs w:val="18"/>
              </w:rPr>
            </w:pPr>
          </w:p>
        </w:tc>
        <w:tc>
          <w:tcPr>
            <w:tcW w:w="917"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rPr>
                <w:b/>
              </w:rPr>
            </w:pPr>
            <w:r>
              <w:rPr>
                <w:rFonts w:hint="eastAsia" w:ascii="微软雅黑" w:hAnsi="微软雅黑" w:eastAsia="微软雅黑" w:cs="Tahoma"/>
                <w:sz w:val="13"/>
                <w:szCs w:val="13"/>
              </w:rPr>
              <w:t>000118032000</w:t>
            </w:r>
          </w:p>
        </w:tc>
        <w:tc>
          <w:tcPr>
            <w:tcW w:w="1276" w:type="dxa"/>
            <w:vAlign w:val="center"/>
          </w:tcPr>
          <w:p>
            <w:pPr>
              <w:jc w:val="center"/>
            </w:pPr>
            <w:r>
              <w:rPr>
                <w:rFonts w:hint="eastAsia" w:ascii="微软雅黑" w:hAnsi="微软雅黑" w:eastAsia="微软雅黑" w:cs="Tahoma"/>
                <w:sz w:val="13"/>
                <w:szCs w:val="13"/>
              </w:rPr>
              <w:t>公路建筑控制区内埋设管线、电缆等设施许可</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000118007000</w:t>
            </w:r>
          </w:p>
        </w:tc>
        <w:tc>
          <w:tcPr>
            <w:tcW w:w="1276" w:type="dxa"/>
            <w:vAlign w:val="center"/>
          </w:tcPr>
          <w:p>
            <w:pPr>
              <w:jc w:val="center"/>
            </w:pPr>
            <w:r>
              <w:rPr>
                <w:rFonts w:hint="eastAsia" w:ascii="微软雅黑" w:hAnsi="微软雅黑" w:eastAsia="微软雅黑" w:cs="Tahoma"/>
                <w:sz w:val="13"/>
                <w:szCs w:val="13"/>
              </w:rPr>
              <w:t>占用、挖掘公路、公路用地或者使公路改线审批</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000118031000</w:t>
            </w:r>
          </w:p>
        </w:tc>
        <w:tc>
          <w:tcPr>
            <w:tcW w:w="1276" w:type="dxa"/>
            <w:vAlign w:val="center"/>
          </w:tcPr>
          <w:p>
            <w:pPr>
              <w:jc w:val="center"/>
            </w:pPr>
            <w:r>
              <w:rPr>
                <w:rFonts w:hint="eastAsia" w:ascii="微软雅黑" w:hAnsi="微软雅黑" w:eastAsia="微软雅黑" w:cs="Tahoma"/>
                <w:sz w:val="13"/>
                <w:szCs w:val="13"/>
              </w:rPr>
              <w:t>跨越、穿越公路及在公路用地范围内架设、埋设管线、电缆等设施，或者利用公路桥梁、公路隧道、涵洞铺设电缆等设施许可</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000118008000</w:t>
            </w:r>
          </w:p>
        </w:tc>
        <w:tc>
          <w:tcPr>
            <w:tcW w:w="1276" w:type="dxa"/>
            <w:vAlign w:val="center"/>
          </w:tcPr>
          <w:p>
            <w:pPr>
              <w:jc w:val="center"/>
            </w:pPr>
            <w:r>
              <w:rPr>
                <w:rFonts w:hint="eastAsia" w:ascii="微软雅黑" w:hAnsi="微软雅黑" w:eastAsia="微软雅黑" w:cs="Tahoma"/>
                <w:sz w:val="13"/>
                <w:szCs w:val="13"/>
              </w:rPr>
              <w:t>在公路增设或改造平面交叉道口审批</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000118010000</w:t>
            </w:r>
          </w:p>
        </w:tc>
        <w:tc>
          <w:tcPr>
            <w:tcW w:w="1276" w:type="dxa"/>
            <w:vAlign w:val="center"/>
          </w:tcPr>
          <w:p>
            <w:pPr>
              <w:jc w:val="center"/>
            </w:pPr>
            <w:r>
              <w:rPr>
                <w:rFonts w:hint="eastAsia" w:ascii="微软雅黑" w:hAnsi="微软雅黑" w:eastAsia="微软雅黑" w:cs="Tahoma"/>
                <w:sz w:val="13"/>
                <w:szCs w:val="13"/>
              </w:rPr>
              <w:t>更新采伐护路林审批</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000118006000</w:t>
            </w:r>
          </w:p>
        </w:tc>
        <w:tc>
          <w:tcPr>
            <w:tcW w:w="1276" w:type="dxa"/>
            <w:vAlign w:val="center"/>
          </w:tcPr>
          <w:p>
            <w:pPr>
              <w:jc w:val="center"/>
            </w:pPr>
            <w:r>
              <w:rPr>
                <w:rFonts w:hint="eastAsia" w:ascii="微软雅黑" w:hAnsi="微软雅黑" w:eastAsia="微软雅黑" w:cs="Tahoma"/>
                <w:sz w:val="13"/>
                <w:szCs w:val="13"/>
              </w:rPr>
              <w:t>公路超限运输许可</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r>
              <w:rPr>
                <w:rFonts w:hint="eastAsia" w:ascii="微软雅黑" w:hAnsi="微软雅黑" w:eastAsia="微软雅黑" w:cs="Tahoma"/>
                <w:sz w:val="13"/>
                <w:szCs w:val="13"/>
              </w:rPr>
              <w:t>《中华人民共和国公路法》（1997年7月3日主席令第86号，2017年11月4日第五次修正）第五十条</w:t>
            </w: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《公路安全保护条例》（2011年3月7日国务院令第593号）第三十五条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trPr>
        <w:tc>
          <w:tcPr>
            <w:tcW w:w="817" w:type="dxa"/>
            <w:vAlign w:val="center"/>
          </w:tcPr>
          <w:p>
            <w:pPr>
              <w:jc w:val="center"/>
            </w:pPr>
            <w:r>
              <w:rPr>
                <w:rFonts w:hint="eastAsia" w:ascii="微软雅黑" w:hAnsi="微软雅黑" w:eastAsia="微软雅黑" w:cs="Tahoma"/>
                <w:sz w:val="13"/>
                <w:szCs w:val="13"/>
              </w:rPr>
              <w:t>000118009000</w:t>
            </w:r>
          </w:p>
        </w:tc>
        <w:tc>
          <w:tcPr>
            <w:tcW w:w="1276" w:type="dxa"/>
            <w:vAlign w:val="center"/>
          </w:tcPr>
          <w:p>
            <w:pPr>
              <w:jc w:val="center"/>
            </w:pPr>
            <w:r>
              <w:rPr>
                <w:rFonts w:hint="eastAsia" w:ascii="微软雅黑" w:hAnsi="微软雅黑" w:eastAsia="微软雅黑" w:cs="Tahoma"/>
                <w:sz w:val="13"/>
                <w:szCs w:val="13"/>
              </w:rPr>
              <w:t>设置非公路标志审批</w:t>
            </w:r>
          </w:p>
        </w:tc>
        <w:tc>
          <w:tcPr>
            <w:tcW w:w="709" w:type="dxa"/>
            <w:vAlign w:val="center"/>
          </w:tcPr>
          <w:p>
            <w:pPr>
              <w:jc w:val="center"/>
            </w:pPr>
            <w:r>
              <w:rPr>
                <w:rFonts w:hint="eastAsia"/>
              </w:rPr>
              <w:t>行政许可</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r>
              <w:rPr>
                <w:rFonts w:hint="eastAsia" w:ascii="微软雅黑" w:hAnsi="微软雅黑" w:eastAsia="微软雅黑" w:cs="Tahoma"/>
                <w:sz w:val="13"/>
                <w:szCs w:val="13"/>
              </w:rPr>
              <w:t>《中华人民共和国公路法》（1997年7月3日主席令第86号，2017年11月4日第五次修正）第五十四条</w:t>
            </w:r>
          </w:p>
        </w:tc>
        <w:tc>
          <w:tcPr>
            <w:tcW w:w="1276" w:type="dxa"/>
            <w:vAlign w:val="center"/>
          </w:tcPr>
          <w:p>
            <w:pPr>
              <w:jc w:val="center"/>
            </w:pPr>
            <w:r>
              <w:rPr>
                <w:rFonts w:hint="eastAsia" w:ascii="微软雅黑" w:hAnsi="微软雅黑" w:eastAsia="微软雅黑" w:cs="Tahoma"/>
                <w:sz w:val="13"/>
                <w:szCs w:val="13"/>
              </w:rPr>
              <w:t>《公路安全保护条例》（2011年3月7日国务院令第593号）第二十七条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15</w:t>
            </w:r>
          </w:p>
        </w:tc>
        <w:tc>
          <w:tcPr>
            <w:tcW w:w="992" w:type="dxa"/>
            <w:vAlign w:val="center"/>
          </w:tcPr>
          <w:p>
            <w:pPr>
              <w:jc w:val="center"/>
            </w:pPr>
            <w:r>
              <w:rPr>
                <w:rFonts w:hint="eastAsia"/>
              </w:rPr>
              <w:t>不收费</w:t>
            </w: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3"/>
                <w:szCs w:val="13"/>
              </w:rPr>
            </w:pPr>
            <w:r>
              <w:rPr>
                <w:rFonts w:hint="eastAsia"/>
                <w:sz w:val="13"/>
                <w:szCs w:val="13"/>
              </w:rPr>
              <w:t>对从事危及公路安全的作业的处罚</w:t>
            </w: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《中华人民共和国公路法》（1997年7月3日主席令第86号，2017年11月4日第五次修正)第七十六条第三项</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5"/>
                <w:szCs w:val="15"/>
              </w:rPr>
            </w:pPr>
            <w:r>
              <w:rPr>
                <w:rFonts w:hint="eastAsia"/>
                <w:sz w:val="15"/>
                <w:szCs w:val="15"/>
              </w:rPr>
              <w:t>对铁轮车、履带车和其他可能损害路面的机具擅自行驶公路的处罚</w:t>
            </w: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《中华人民共和国公路法》（1997年7月3日主席令第86号，2017年11月4日第五次修正)第七十六条第四项</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3"/>
                <w:szCs w:val="13"/>
              </w:rPr>
            </w:pPr>
            <w:r>
              <w:rPr>
                <w:rFonts w:hint="eastAsia"/>
                <w:sz w:val="13"/>
                <w:szCs w:val="13"/>
              </w:rPr>
              <w:t>对损坏、擅自移动、涂改、遮挡公路附属设施或者利用公路附属设施架设管道、悬挂物品，可能危及公路安全的，对涉路工程设施影响公路完好、安全和畅通的处罚</w:t>
            </w: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sz w:val="13"/>
                <w:szCs w:val="13"/>
              </w:rPr>
              <w:t>《公路安全保护条例》（国务院令第593号）第六十条第一项</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3"/>
                <w:szCs w:val="13"/>
              </w:rPr>
            </w:pPr>
            <w:r>
              <w:rPr>
                <w:rFonts w:hint="eastAsia"/>
                <w:sz w:val="13"/>
                <w:szCs w:val="13"/>
              </w:rPr>
              <w:t>对造成公路路面损坏、污染或者影响公路畅通的处罚</w:t>
            </w: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《公路安全保护条例》(国务院令593号)第六十九条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rPr>
                <w:sz w:val="10"/>
                <w:szCs w:val="10"/>
              </w:rP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3"/>
                <w:szCs w:val="13"/>
              </w:rPr>
            </w:pPr>
            <w:r>
              <w:rPr>
                <w:rFonts w:hint="eastAsia"/>
                <w:sz w:val="13"/>
                <w:szCs w:val="13"/>
              </w:rPr>
              <w:t>对将公路作为试车场地的处罚</w:t>
            </w: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《公路安全保护条例》(国务院令593号)第六十九条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sz w:val="13"/>
                <w:szCs w:val="13"/>
              </w:rPr>
            </w:pPr>
            <w:r>
              <w:rPr>
                <w:rFonts w:hint="eastAsia"/>
                <w:sz w:val="13"/>
                <w:szCs w:val="13"/>
              </w:rPr>
              <w:t>对造成公路损坏未报告的处罚</w:t>
            </w: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《中华人民共和国公路法》（1997年7月3日主席令第86号，2017年11月4日第五次修正)第七十八条</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对擅自在公路用地范围内设置公路标志以外的其他标志的处罚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《中华人民共和国公路法》（1997年7月3日主席令第86号，2017年11月4日第五次修正)第七十九条</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pPr>
            <w:r>
              <w:rPr>
                <w:rFonts w:hint="eastAsia"/>
                <w:sz w:val="13"/>
                <w:szCs w:val="13"/>
              </w:rPr>
              <w:t>对利用公路桥梁（含桥下空间）、公路隧道、涵洞堆放物品、搭建设施，或者铺设高压电线和输送易燃、易爆或者其他有毒有害气体、液体的管道的处罚</w:t>
            </w: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rPr>
                <w:sz w:val="13"/>
                <w:szCs w:val="13"/>
              </w:rPr>
            </w:pPr>
            <w:r>
              <w:rPr>
                <w:rFonts w:hint="eastAsia"/>
                <w:sz w:val="13"/>
                <w:szCs w:val="13"/>
              </w:rPr>
              <w:t>《公路安全保护条例》(国务院令593号)第五十九条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对未经批准更新采伐公路护路林的行政处罚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《公路安全保护条例》(国务院令第593号)第六十一条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对在公路建筑控制区内修建、扩建建筑物、地面构筑物或者未经许可埋设管道、电缆等设施的，对在公路建筑控制区外修建的建筑物、地面构筑物以及其他设施遮挡公路标志或者妨碍安全视距的处罚</w:t>
            </w:r>
          </w:p>
          <w:p>
            <w:pPr>
              <w:jc w:val="center"/>
            </w:pP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rPr>
                <w:sz w:val="13"/>
                <w:szCs w:val="13"/>
              </w:rPr>
            </w:pPr>
            <w:r>
              <w:rPr>
                <w:rFonts w:hint="eastAsia"/>
                <w:sz w:val="13"/>
                <w:szCs w:val="13"/>
              </w:rPr>
              <w:t>《公路安全保护条例》(国务院令第593号)第五十六条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 xml:space="preserve">对未经许可进行涉路施工活动的处罚    </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《公路安全保护条例》(国务院令第593号)第六十二条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对擅自移动公路养护施工安全警示标志和防护设施，可能危及公路安全的行政处罚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p>
        </w:tc>
        <w:tc>
          <w:tcPr>
            <w:tcW w:w="992" w:type="dxa"/>
            <w:vAlign w:val="center"/>
          </w:tcPr>
          <w:p>
            <w:pPr>
              <w:jc w:val="center"/>
              <w:rPr>
                <w:sz w:val="11"/>
                <w:szCs w:val="11"/>
              </w:rPr>
            </w:pPr>
            <w:r>
              <w:rPr>
                <w:rFonts w:hint="eastAsia"/>
                <w:sz w:val="11"/>
                <w:szCs w:val="11"/>
              </w:rPr>
              <w:t xml:space="preserve">《吉林省公路条例》(吉林省第十一届人民代表大会常务委员会公告第57号)第五条  </w:t>
            </w:r>
          </w:p>
          <w:p>
            <w:pPr>
              <w:jc w:val="center"/>
            </w:pPr>
            <w:r>
              <w:rPr>
                <w:rFonts w:hint="eastAsia"/>
                <w:sz w:val="11"/>
                <w:szCs w:val="11"/>
              </w:rPr>
              <w:t xml:space="preserve">    第六十六条</w:t>
            </w: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对拟建设施不符合公路工程技术标准和规范，妨碍安全通行视距或者遮挡公路标志、信号灯的、新建跨越公路电讯、广播、电力线路时，导线距离路面的垂直高度不符合要求的、未按照批准的施工方案施工的处罚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p>
        </w:tc>
        <w:tc>
          <w:tcPr>
            <w:tcW w:w="992" w:type="dxa"/>
            <w:vAlign w:val="center"/>
          </w:tcPr>
          <w:p>
            <w:pPr>
              <w:rPr>
                <w:rFonts w:ascii="宋体" w:hAnsi="宋体" w:eastAsia="宋体" w:cs="宋体"/>
                <w:sz w:val="13"/>
                <w:szCs w:val="13"/>
              </w:rPr>
            </w:pPr>
            <w:r>
              <w:rPr>
                <w:rFonts w:hint="eastAsia"/>
                <w:sz w:val="13"/>
                <w:szCs w:val="13"/>
              </w:rPr>
              <w:t>《吉林省公路条例》(吉林省第十一届人民代表大会常务委员会公告第57号)第五条 第六十六条第四项—第六项、第四十七条</w:t>
            </w: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对超限运输车辆擅自行驶公路的处罚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《公路安全保护条例》(国务院令第593号)第六十四条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对公路养护作业单位未按照国务院交通运输主管部门规定的技术规范和操作规程进行公路养护作业的处罚</w:t>
            </w:r>
          </w:p>
          <w:p>
            <w:pPr>
              <w:jc w:val="center"/>
              <w:rPr>
                <w:sz w:val="13"/>
                <w:szCs w:val="13"/>
              </w:rPr>
            </w:pPr>
          </w:p>
        </w:tc>
        <w:tc>
          <w:tcPr>
            <w:tcW w:w="709" w:type="dxa"/>
            <w:vAlign w:val="center"/>
          </w:tcPr>
          <w:p>
            <w:pPr>
              <w:jc w:val="cente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rPr>
              <w:t>《公路安全保护条例》(国务院令593号)第七十条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对从事危及公路桥梁安全的作业的处罚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《公路安全保护条例》（国务院令第593号）第二十二条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对扰乱公路超限检测秩序或者逃避超限检测的处罚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《公路安全保护条例》（国务院令第593号）第四十条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对租借、转让或者使用伪造、变造公路超限运输车辆通行证的处罚</w:t>
            </w:r>
          </w:p>
          <w:p>
            <w:pPr>
              <w:jc w:val="center"/>
              <w:rPr>
                <w:sz w:val="13"/>
                <w:szCs w:val="13"/>
              </w:rPr>
            </w:pPr>
          </w:p>
        </w:tc>
        <w:tc>
          <w:tcPr>
            <w:tcW w:w="709" w:type="dxa"/>
            <w:vAlign w:val="center"/>
          </w:tcPr>
          <w:p>
            <w:pPr>
              <w:jc w:val="center"/>
              <w:rPr>
                <w:sz w:val="13"/>
                <w:szCs w:val="13"/>
              </w:rPr>
            </w:pPr>
            <w:r>
              <w:rPr>
                <w:rFonts w:hint="eastAsia"/>
              </w:rPr>
              <w:t>行政处罚</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 xml:space="preserve">   《公路安全保护条例》（国务院令第593号）第三十八条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0"/>
                <w:szCs w:val="10"/>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 xml:space="preserve">强制拖离或者扣留采取故意堵塞公路固定超限检测站点通行车道、强行通过公路固定超限检测站点等方式扰乱超限检测秩序的车辆 </w:t>
            </w:r>
          </w:p>
          <w:p>
            <w:pPr>
              <w:jc w:val="cente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rPr>
              <w:t>《</w:t>
            </w:r>
            <w:r>
              <w:rPr>
                <w:rFonts w:hint="eastAsia"/>
                <w:sz w:val="13"/>
                <w:szCs w:val="13"/>
              </w:rPr>
              <w:t>公路安全保护条例》（国务院令第593号）第六十七条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暂扣危及公路安全、畅通的堆放物、散落物</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《公路安全保护条例》（国务院令第593号）第七十条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rPr>
                <w:rFonts w:ascii="宋体" w:hAnsi="宋体" w:eastAsia="宋体" w:cs="宋体"/>
                <w:sz w:val="13"/>
                <w:szCs w:val="13"/>
              </w:rPr>
            </w:pPr>
            <w:r>
              <w:rPr>
                <w:rFonts w:hint="eastAsia"/>
                <w:sz w:val="13"/>
                <w:szCs w:val="13"/>
              </w:rPr>
              <w:t>扣留造成公路、公路附属设施损坏拒不接受现场调查处理的车辆、工具</w:t>
            </w: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《公路安全保护条例》（国务院令第593号）第七十二条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 xml:space="preserve">强制拖离或者扣留采取短途驳载等方式逃避超限检测的车辆 </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《公路安全保护条例》（国务院令第593号）第六十七条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扣留经批准但未按照指定的时间、路线和速度行驶或者未随车携带超限运输车辆通行证行驶公路的超限运输车辆</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《公路安全保护条例》（国务院令第593号）第六十五条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对拒不卸载车辆强制卸载</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p>
        </w:tc>
        <w:tc>
          <w:tcPr>
            <w:tcW w:w="992" w:type="dxa"/>
            <w:vAlign w:val="center"/>
          </w:tcPr>
          <w:p>
            <w:pPr>
              <w:jc w:val="center"/>
              <w:rPr>
                <w:sz w:val="13"/>
                <w:szCs w:val="13"/>
              </w:rPr>
            </w:pPr>
            <w:r>
              <w:rPr>
                <w:rFonts w:hint="eastAsia"/>
                <w:sz w:val="13"/>
                <w:szCs w:val="13"/>
              </w:rPr>
              <w:t>《吉林省公路条例》（吉林省第十一届人民代表大会常务委员会公告第57号）第六十八条</w:t>
            </w: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强制拆除在公路建筑控制区内修建、扩建建筑物、地面构筑物或者未经许可埋设管道、电缆等设施</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《公路安全保护条例》第五十六条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强制拆除在公路建筑控制区外修建的建筑物、地面构筑物以及其他设施遮挡公路标志或者妨碍安全视距的设施</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《公路安全保护条例》第五十六条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 xml:space="preserve">公路管理机构发现非公路设施损坏影响公路安全畅通，采取修复、拆除、清除等消除危险的措施 </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《公路安全保护条例》（国务院令第593号）第四十九条第二款</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强制清理、拆除危及公路安全、畅通的堆放物、散落物、建筑物和构筑物</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《公路安全保护条例》（国务院令第593号）第七十条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代为补种绿化物</w:t>
            </w:r>
          </w:p>
          <w:p>
            <w:pPr>
              <w:jc w:val="center"/>
              <w:rPr>
                <w:sz w:val="13"/>
                <w:szCs w:val="13"/>
              </w:rPr>
            </w:pPr>
          </w:p>
        </w:tc>
        <w:tc>
          <w:tcPr>
            <w:tcW w:w="709" w:type="dxa"/>
            <w:vAlign w:val="top"/>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p>
        </w:tc>
        <w:tc>
          <w:tcPr>
            <w:tcW w:w="1276" w:type="dxa"/>
            <w:vAlign w:val="center"/>
          </w:tcPr>
          <w:p>
            <w:pPr>
              <w:jc w:val="center"/>
              <w:rPr>
                <w:sz w:val="13"/>
                <w:szCs w:val="13"/>
              </w:rPr>
            </w:pPr>
            <w:r>
              <w:rPr>
                <w:rFonts w:hint="eastAsia"/>
                <w:sz w:val="13"/>
                <w:szCs w:val="13"/>
              </w:rPr>
              <w:t>《公路安全保护条例》（国务院令第593号）第二十六条</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未经批准在公路用地范围内设置公路标志以外的其他非公路标志的拆除</w:t>
            </w:r>
          </w:p>
          <w:p>
            <w:pPr>
              <w:jc w:val="center"/>
            </w:pPr>
          </w:p>
        </w:tc>
        <w:tc>
          <w:tcPr>
            <w:tcW w:w="709" w:type="dxa"/>
            <w:vAlign w:val="center"/>
          </w:tcPr>
          <w:p>
            <w:pPr>
              <w:jc w:val="center"/>
            </w:pPr>
            <w:r>
              <w:rPr>
                <w:rFonts w:hint="eastAsia"/>
              </w:rPr>
              <w:t>行政强制</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《中华人民共和国公路法》第五十四条</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17" w:type="dxa"/>
            <w:vAlign w:val="center"/>
          </w:tcPr>
          <w:p>
            <w:pPr>
              <w:jc w:val="center"/>
            </w:pPr>
            <w:r>
              <w:rPr>
                <w:rFonts w:hint="eastAsia" w:ascii="微软雅黑" w:hAnsi="微软雅黑" w:eastAsia="微软雅黑" w:cs="Tahoma"/>
                <w:sz w:val="13"/>
                <w:szCs w:val="13"/>
              </w:rPr>
              <w:t>221018002000</w:t>
            </w:r>
          </w:p>
        </w:tc>
        <w:tc>
          <w:tcPr>
            <w:tcW w:w="1276" w:type="dxa"/>
            <w:vAlign w:val="center"/>
          </w:tcPr>
          <w:p>
            <w:pPr>
              <w:jc w:val="center"/>
            </w:pPr>
            <w:r>
              <w:rPr>
                <w:rFonts w:hint="eastAsia" w:ascii="微软雅黑" w:hAnsi="微软雅黑" w:eastAsia="微软雅黑" w:cs="Tahoma"/>
                <w:sz w:val="13"/>
                <w:szCs w:val="13"/>
              </w:rPr>
              <w:t>对公路造成较大损害、当场不能处理完毕的车辆责令停驶</w:t>
            </w:r>
          </w:p>
        </w:tc>
        <w:tc>
          <w:tcPr>
            <w:tcW w:w="709" w:type="dxa"/>
            <w:vAlign w:val="center"/>
          </w:tcPr>
          <w:p>
            <w:pPr>
              <w:jc w:val="center"/>
            </w:pPr>
            <w:r>
              <w:rPr>
                <w:rFonts w:hint="eastAsia"/>
              </w:rPr>
              <w:t>其他权力</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p>
        </w:tc>
        <w:tc>
          <w:tcPr>
            <w:tcW w:w="992" w:type="dxa"/>
            <w:vAlign w:val="center"/>
          </w:tcPr>
          <w:p>
            <w:pPr>
              <w:jc w:val="center"/>
            </w:pPr>
          </w:p>
        </w:tc>
        <w:tc>
          <w:tcPr>
            <w:tcW w:w="709" w:type="dxa"/>
            <w:vAlign w:val="center"/>
          </w:tcPr>
          <w:p>
            <w:pPr>
              <w:jc w:val="center"/>
            </w:pPr>
            <w:r>
              <w:rPr>
                <w:rFonts w:hint="eastAsia" w:ascii="微软雅黑" w:hAnsi="微软雅黑" w:eastAsia="微软雅黑" w:cs="Tahoma"/>
                <w:sz w:val="13"/>
                <w:szCs w:val="13"/>
              </w:rPr>
              <w:t>《路政管理规定》(交通运输部令〔2016〕第81号)第三十八条</w:t>
            </w: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r>
              <w:rPr>
                <w:rFonts w:hint="eastAsia"/>
              </w:rPr>
              <w:t>30</w:t>
            </w:r>
          </w:p>
        </w:tc>
        <w:tc>
          <w:tcPr>
            <w:tcW w:w="709" w:type="dxa"/>
            <w:vAlign w:val="center"/>
          </w:tcPr>
          <w:p>
            <w:pPr>
              <w:jc w:val="center"/>
            </w:pPr>
            <w:r>
              <w:rPr>
                <w:rFonts w:hint="eastAsia"/>
              </w:rPr>
              <w:t>30</w:t>
            </w: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817" w:type="dxa"/>
            <w:vAlign w:val="center"/>
          </w:tcPr>
          <w:p>
            <w:pPr>
              <w:jc w:val="center"/>
            </w:pPr>
            <w:r>
              <w:rPr>
                <w:rFonts w:hint="eastAsia" w:ascii="微软雅黑" w:hAnsi="微软雅黑" w:eastAsia="微软雅黑" w:cs="Tahoma"/>
                <w:sz w:val="13"/>
                <w:szCs w:val="13"/>
              </w:rPr>
              <w:t>220718001000</w:t>
            </w:r>
          </w:p>
        </w:tc>
        <w:tc>
          <w:tcPr>
            <w:tcW w:w="1276" w:type="dxa"/>
            <w:vAlign w:val="center"/>
          </w:tcPr>
          <w:p>
            <w:pPr>
              <w:jc w:val="center"/>
            </w:pPr>
            <w:r>
              <w:rPr>
                <w:rFonts w:hint="eastAsia" w:ascii="微软雅黑" w:hAnsi="微软雅黑" w:eastAsia="微软雅黑" w:cs="Tahoma"/>
                <w:sz w:val="13"/>
                <w:szCs w:val="13"/>
              </w:rPr>
              <w:t>在公路桥梁跨越的河道上下游500米范围内进行疏浚作业是否符合公路桥梁安全要求的确认</w:t>
            </w:r>
          </w:p>
        </w:tc>
        <w:tc>
          <w:tcPr>
            <w:tcW w:w="709" w:type="dxa"/>
            <w:vAlign w:val="center"/>
          </w:tcPr>
          <w:p>
            <w:pPr>
              <w:jc w:val="center"/>
            </w:pPr>
            <w:r>
              <w:rPr>
                <w:rFonts w:hint="eastAsia"/>
              </w:rPr>
              <w:t>行政确认</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pPr>
          </w:p>
        </w:tc>
        <w:tc>
          <w:tcPr>
            <w:tcW w:w="1276" w:type="dxa"/>
            <w:vAlign w:val="center"/>
          </w:tcPr>
          <w:p>
            <w:pPr>
              <w:jc w:val="center"/>
            </w:pPr>
            <w:r>
              <w:rPr>
                <w:rFonts w:hint="eastAsia" w:ascii="微软雅黑" w:hAnsi="微软雅黑" w:eastAsia="微软雅黑" w:cs="Tahoma"/>
                <w:sz w:val="13"/>
                <w:szCs w:val="13"/>
              </w:rPr>
              <w:t>《公路安全保护条例》（国务院令第593号）第二十一条 </w:t>
            </w: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企业法人,事业法人,社会组织法人,非法人企业,行政机关,其他组织</w:t>
            </w:r>
          </w:p>
        </w:tc>
        <w:tc>
          <w:tcPr>
            <w:tcW w:w="709" w:type="dxa"/>
            <w:vAlign w:val="center"/>
          </w:tcPr>
          <w:p>
            <w:pPr>
              <w:jc w:val="center"/>
            </w:pPr>
            <w:r>
              <w:rPr>
                <w:rFonts w:hint="eastAsia"/>
              </w:rPr>
              <w:t>20</w:t>
            </w:r>
          </w:p>
        </w:tc>
        <w:tc>
          <w:tcPr>
            <w:tcW w:w="709" w:type="dxa"/>
            <w:vAlign w:val="center"/>
          </w:tcPr>
          <w:p>
            <w:pPr>
              <w:jc w:val="center"/>
            </w:pPr>
            <w:r>
              <w:rPr>
                <w:rFonts w:hint="eastAsia"/>
              </w:rPr>
              <w:t>20</w:t>
            </w: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检查、制止违反公路法规定的行为</w:t>
            </w:r>
          </w:p>
          <w:p>
            <w:pPr>
              <w:jc w:val="center"/>
              <w:rPr>
                <w:sz w:val="13"/>
                <w:szCs w:val="13"/>
              </w:rPr>
            </w:pPr>
          </w:p>
        </w:tc>
        <w:tc>
          <w:tcPr>
            <w:tcW w:w="709" w:type="dxa"/>
            <w:vAlign w:val="center"/>
          </w:tcPr>
          <w:p>
            <w:pPr>
              <w:jc w:val="center"/>
            </w:pPr>
            <w:r>
              <w:rPr>
                <w:rFonts w:hint="eastAsia"/>
              </w:rPr>
              <w:t>行政检查</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《中华人民共和国公路法》（1997年7月3日主席令第86号，2017年11月4日第五次修正)第七十条</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17" w:type="dxa"/>
            <w:vAlign w:val="center"/>
          </w:tcPr>
          <w:p>
            <w:pPr>
              <w:jc w:val="center"/>
            </w:pPr>
          </w:p>
        </w:tc>
        <w:tc>
          <w:tcPr>
            <w:tcW w:w="1276" w:type="dxa"/>
            <w:vAlign w:val="center"/>
          </w:tcPr>
          <w:p>
            <w:pPr>
              <w:jc w:val="center"/>
              <w:rPr>
                <w:rFonts w:ascii="宋体" w:hAnsi="宋体" w:eastAsia="宋体" w:cs="宋体"/>
                <w:sz w:val="13"/>
                <w:szCs w:val="13"/>
              </w:rPr>
            </w:pPr>
            <w:r>
              <w:rPr>
                <w:rFonts w:hint="eastAsia"/>
                <w:sz w:val="13"/>
                <w:szCs w:val="13"/>
              </w:rPr>
              <w:t>对公路法律、法规执行情况进行监督检查</w:t>
            </w:r>
          </w:p>
          <w:p>
            <w:pPr>
              <w:jc w:val="center"/>
              <w:rPr>
                <w:sz w:val="13"/>
                <w:szCs w:val="13"/>
              </w:rPr>
            </w:pPr>
          </w:p>
        </w:tc>
        <w:tc>
          <w:tcPr>
            <w:tcW w:w="709" w:type="dxa"/>
            <w:vAlign w:val="center"/>
          </w:tcPr>
          <w:p>
            <w:pPr>
              <w:jc w:val="center"/>
              <w:rPr>
                <w:sz w:val="13"/>
                <w:szCs w:val="13"/>
              </w:rPr>
            </w:pPr>
            <w:r>
              <w:rPr>
                <w:rFonts w:hint="eastAsia"/>
              </w:rPr>
              <w:t>行政检查</w:t>
            </w:r>
          </w:p>
        </w:tc>
        <w:tc>
          <w:tcPr>
            <w:tcW w:w="708" w:type="dxa"/>
            <w:vAlign w:val="center"/>
          </w:tcPr>
          <w:p>
            <w:pPr>
              <w:jc w:val="center"/>
            </w:pPr>
            <w:r>
              <w:rPr>
                <w:rFonts w:hint="eastAsia"/>
              </w:rPr>
              <w:t>交通局</w:t>
            </w:r>
          </w:p>
        </w:tc>
        <w:tc>
          <w:tcPr>
            <w:tcW w:w="709" w:type="dxa"/>
            <w:vAlign w:val="center"/>
          </w:tcPr>
          <w:p>
            <w:pPr>
              <w:jc w:val="center"/>
            </w:pPr>
            <w:r>
              <w:rPr>
                <w:rFonts w:hint="eastAsia"/>
              </w:rPr>
              <w:t>公路管理段</w:t>
            </w:r>
          </w:p>
        </w:tc>
        <w:tc>
          <w:tcPr>
            <w:tcW w:w="1134" w:type="dxa"/>
            <w:vAlign w:val="center"/>
          </w:tcPr>
          <w:p>
            <w:pPr>
              <w:jc w:val="center"/>
              <w:rPr>
                <w:sz w:val="13"/>
                <w:szCs w:val="13"/>
              </w:rPr>
            </w:pPr>
            <w:r>
              <w:rPr>
                <w:rFonts w:hint="eastAsia"/>
                <w:sz w:val="13"/>
                <w:szCs w:val="13"/>
              </w:rPr>
              <w:t>《中华人民共和国公路法》（1997年7月3日主席令第86号，2017年11月4日第五次修正)第六十九条</w:t>
            </w: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r>
              <w:rPr>
                <w:rStyle w:val="8"/>
                <w:rFonts w:hint="eastAsia" w:ascii="微软雅黑" w:hAnsi="微软雅黑" w:eastAsia="微软雅黑" w:cs="Tahoma"/>
                <w:sz w:val="13"/>
                <w:szCs w:val="13"/>
              </w:rPr>
              <w:t>自然人,企业法人,事业法人,社会组织法人,非法人企业,行政机关,其他组织</w:t>
            </w: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17" w:type="dxa"/>
            <w:vAlign w:val="center"/>
          </w:tcPr>
          <w:p>
            <w:pPr>
              <w:jc w:val="center"/>
            </w:pPr>
          </w:p>
        </w:tc>
        <w:tc>
          <w:tcPr>
            <w:tcW w:w="1276" w:type="dxa"/>
            <w:vAlign w:val="center"/>
          </w:tcPr>
          <w:p>
            <w:pPr>
              <w:jc w:val="center"/>
            </w:pPr>
          </w:p>
        </w:tc>
        <w:tc>
          <w:tcPr>
            <w:tcW w:w="709" w:type="dxa"/>
            <w:vAlign w:val="center"/>
          </w:tcPr>
          <w:p>
            <w:pPr>
              <w:jc w:val="center"/>
            </w:pPr>
          </w:p>
        </w:tc>
        <w:tc>
          <w:tcPr>
            <w:tcW w:w="708" w:type="dxa"/>
            <w:vAlign w:val="center"/>
          </w:tcPr>
          <w:p>
            <w:pPr>
              <w:jc w:val="center"/>
            </w:pPr>
          </w:p>
        </w:tc>
        <w:tc>
          <w:tcPr>
            <w:tcW w:w="709" w:type="dxa"/>
            <w:vAlign w:val="center"/>
          </w:tcPr>
          <w:p>
            <w:pPr>
              <w:jc w:val="center"/>
            </w:pPr>
          </w:p>
        </w:tc>
        <w:tc>
          <w:tcPr>
            <w:tcW w:w="1134" w:type="dxa"/>
            <w:vAlign w:val="center"/>
          </w:tcPr>
          <w:p>
            <w:pPr>
              <w:jc w:val="center"/>
            </w:pPr>
          </w:p>
        </w:tc>
        <w:tc>
          <w:tcPr>
            <w:tcW w:w="1276" w:type="dxa"/>
            <w:vAlign w:val="center"/>
          </w:tcPr>
          <w:p>
            <w:pPr>
              <w:jc w:val="center"/>
            </w:pPr>
          </w:p>
        </w:tc>
        <w:tc>
          <w:tcPr>
            <w:tcW w:w="992" w:type="dxa"/>
            <w:vAlign w:val="center"/>
          </w:tcPr>
          <w:p>
            <w:pPr>
              <w:jc w:val="center"/>
            </w:pPr>
          </w:p>
        </w:tc>
        <w:tc>
          <w:tcPr>
            <w:tcW w:w="709" w:type="dxa"/>
            <w:vAlign w:val="center"/>
          </w:tcPr>
          <w:p>
            <w:pPr>
              <w:jc w:val="center"/>
            </w:pPr>
          </w:p>
        </w:tc>
        <w:tc>
          <w:tcPr>
            <w:tcW w:w="567" w:type="dxa"/>
            <w:vAlign w:val="center"/>
          </w:tcPr>
          <w:p>
            <w:pPr>
              <w:jc w:val="center"/>
            </w:pPr>
          </w:p>
        </w:tc>
        <w:tc>
          <w:tcPr>
            <w:tcW w:w="709" w:type="dxa"/>
            <w:vAlign w:val="center"/>
          </w:tcPr>
          <w:p>
            <w:pPr>
              <w:jc w:val="center"/>
            </w:pPr>
          </w:p>
        </w:tc>
        <w:tc>
          <w:tcPr>
            <w:tcW w:w="1417" w:type="dxa"/>
            <w:vAlign w:val="center"/>
          </w:tcPr>
          <w:p>
            <w:pPr>
              <w:jc w:val="center"/>
            </w:pPr>
          </w:p>
        </w:tc>
        <w:tc>
          <w:tcPr>
            <w:tcW w:w="709" w:type="dxa"/>
            <w:vAlign w:val="center"/>
          </w:tcPr>
          <w:p>
            <w:pPr>
              <w:jc w:val="center"/>
            </w:pPr>
          </w:p>
        </w:tc>
        <w:tc>
          <w:tcPr>
            <w:tcW w:w="709" w:type="dxa"/>
            <w:vAlign w:val="center"/>
          </w:tcPr>
          <w:p>
            <w:pPr>
              <w:jc w:val="center"/>
            </w:pPr>
          </w:p>
        </w:tc>
        <w:tc>
          <w:tcPr>
            <w:tcW w:w="992" w:type="dxa"/>
            <w:vAlign w:val="center"/>
          </w:tcPr>
          <w:p>
            <w:pPr>
              <w:jc w:val="center"/>
            </w:pPr>
          </w:p>
        </w:tc>
        <w:tc>
          <w:tcPr>
            <w:tcW w:w="917" w:type="dxa"/>
            <w:vAlign w:val="center"/>
          </w:tcPr>
          <w:p>
            <w:pPr>
              <w:jc w:val="center"/>
            </w:pPr>
          </w:p>
        </w:tc>
      </w:tr>
    </w:tbl>
    <w:p>
      <w:r>
        <w:rPr>
          <w:rFonts w:hint="eastAsia"/>
        </w:rPr>
        <w:t xml:space="preserve">填表人： </w:t>
      </w:r>
      <w:bookmarkStart w:id="0" w:name="_GoBack"/>
      <w:bookmarkEnd w:id="0"/>
      <w:r>
        <w:rPr>
          <w:rFonts w:hint="eastAsia"/>
        </w:rPr>
        <w:t xml:space="preserve">                  联系电话：                        填表日期：</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E2F25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Char"/>
    <w:basedOn w:val="5"/>
    <w:link w:val="3"/>
    <w:uiPriority w:val="0"/>
    <w:rPr>
      <w:kern w:val="2"/>
      <w:sz w:val="18"/>
      <w:szCs w:val="18"/>
    </w:rPr>
  </w:style>
  <w:style w:type="character" w:customStyle="1" w:styleId="7">
    <w:name w:val="页脚 Char Char"/>
    <w:basedOn w:val="5"/>
    <w:link w:val="2"/>
    <w:uiPriority w:val="0"/>
    <w:rPr>
      <w:kern w:val="2"/>
      <w:sz w:val="18"/>
      <w:szCs w:val="18"/>
    </w:rPr>
  </w:style>
  <w:style w:type="character" w:customStyle="1" w:styleId="8">
    <w:name w:val="mini-outputtext1"/>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867</Words>
  <Characters>4944</Characters>
  <Lines>41</Lines>
  <Paragraphs>11</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吕超</cp:lastModifiedBy>
  <dcterms:modified xsi:type="dcterms:W3CDTF">2020-09-14T09:35:09Z</dcterms:modified>
  <dc:title>行政执法事项清单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