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3700" w:type="dxa"/>
        <w:tblInd w:w="0" w:type="dxa"/>
        <w:tblLayout w:type="fixed"/>
        <w:tblCellMar>
          <w:top w:w="0" w:type="dxa"/>
          <w:left w:w="0" w:type="dxa"/>
          <w:bottom w:w="0" w:type="dxa"/>
          <w:right w:w="0" w:type="dxa"/>
        </w:tblCellMar>
      </w:tblPr>
      <w:tblGrid>
        <w:gridCol w:w="582"/>
        <w:gridCol w:w="851"/>
        <w:gridCol w:w="2898"/>
        <w:gridCol w:w="1416"/>
        <w:gridCol w:w="1072"/>
        <w:gridCol w:w="851"/>
        <w:gridCol w:w="1577"/>
        <w:gridCol w:w="1607"/>
        <w:gridCol w:w="1635"/>
        <w:gridCol w:w="22"/>
        <w:gridCol w:w="545"/>
        <w:gridCol w:w="624"/>
        <w:gridCol w:w="20"/>
      </w:tblGrid>
      <w:tr>
        <w:tblPrEx>
          <w:tblCellMar>
            <w:top w:w="0" w:type="dxa"/>
            <w:left w:w="0" w:type="dxa"/>
            <w:bottom w:w="0" w:type="dxa"/>
            <w:right w:w="0" w:type="dxa"/>
          </w:tblCellMar>
        </w:tblPrEx>
        <w:trPr>
          <w:gridAfter w:val="1"/>
          <w:wAfter w:w="20" w:type="dxa"/>
          <w:trHeight w:val="400" w:hRule="atLeast"/>
        </w:trPr>
        <w:tc>
          <w:tcPr>
            <w:tcW w:w="13680" w:type="dxa"/>
            <w:gridSpan w:val="12"/>
            <w:tcBorders>
              <w:top w:val="nil"/>
              <w:left w:val="nil"/>
              <w:bottom w:val="nil"/>
              <w:right w:val="nil"/>
            </w:tcBorders>
            <w:shd w:val="clear" w:color="auto" w:fill="auto"/>
            <w:tcMar>
              <w:top w:w="15" w:type="dxa"/>
              <w:left w:w="15" w:type="dxa"/>
              <w:right w:w="15" w:type="dxa"/>
            </w:tcMar>
            <w:vAlign w:val="center"/>
          </w:tcPr>
          <w:p>
            <w:pPr>
              <w:rPr>
                <w:rFonts w:ascii="宋体" w:hAnsi="宋体" w:cs="宋体"/>
                <w:color w:val="000000"/>
                <w:sz w:val="24"/>
                <w:szCs w:val="24"/>
              </w:rPr>
            </w:pPr>
          </w:p>
        </w:tc>
      </w:tr>
      <w:tr>
        <w:tblPrEx>
          <w:tblCellMar>
            <w:top w:w="0" w:type="dxa"/>
            <w:left w:w="0" w:type="dxa"/>
            <w:bottom w:w="0" w:type="dxa"/>
            <w:right w:w="0" w:type="dxa"/>
          </w:tblCellMar>
        </w:tblPrEx>
        <w:trPr>
          <w:gridAfter w:val="1"/>
          <w:wAfter w:w="20" w:type="dxa"/>
          <w:trHeight w:val="596" w:hRule="atLeast"/>
        </w:trPr>
        <w:tc>
          <w:tcPr>
            <w:tcW w:w="13680" w:type="dxa"/>
            <w:gridSpan w:val="12"/>
            <w:tcBorders>
              <w:top w:val="nil"/>
              <w:left w:val="nil"/>
              <w:bottom w:val="nil"/>
              <w:right w:val="nil"/>
            </w:tcBorders>
            <w:shd w:val="clear" w:color="auto" w:fill="auto"/>
            <w:tcMar>
              <w:top w:w="15" w:type="dxa"/>
              <w:left w:w="15" w:type="dxa"/>
              <w:right w:w="15" w:type="dxa"/>
            </w:tcMar>
            <w:vAlign w:val="center"/>
          </w:tcPr>
          <w:p>
            <w:pPr>
              <w:widowControl/>
              <w:jc w:val="center"/>
              <w:textAlignment w:val="center"/>
              <w:rPr>
                <w:rFonts w:ascii="方正小标宋简体" w:hAnsi="方正小标宋简体" w:eastAsia="方正小标宋简体" w:cs="方正小标宋简体"/>
                <w:color w:val="000000"/>
                <w:sz w:val="40"/>
                <w:szCs w:val="40"/>
              </w:rPr>
            </w:pPr>
            <w:r>
              <w:rPr>
                <w:rFonts w:hint="eastAsia" w:ascii="方正小标宋简体" w:hAnsi="方正小标宋简体" w:eastAsia="方正小标宋简体" w:cs="方正小标宋简体"/>
                <w:color w:val="000000"/>
                <w:kern w:val="0"/>
                <w:sz w:val="40"/>
                <w:szCs w:val="40"/>
                <w:lang w:val="en-US" w:eastAsia="zh-CN"/>
              </w:rPr>
              <w:t>伊通满族自治县</w:t>
            </w:r>
            <w:r>
              <w:rPr>
                <w:rFonts w:hint="eastAsia" w:ascii="方正小标宋简体" w:hAnsi="方正小标宋简体" w:eastAsia="方正小标宋简体" w:cs="方正小标宋简体"/>
                <w:color w:val="000000"/>
                <w:kern w:val="0"/>
                <w:sz w:val="40"/>
                <w:szCs w:val="40"/>
              </w:rPr>
              <w:t>卫生健康</w:t>
            </w:r>
            <w:r>
              <w:rPr>
                <w:rFonts w:hint="eastAsia" w:ascii="方正小标宋简体" w:hAnsi="方正小标宋简体" w:eastAsia="方正小标宋简体" w:cs="方正小标宋简体"/>
                <w:color w:val="000000"/>
                <w:kern w:val="0"/>
                <w:sz w:val="40"/>
                <w:szCs w:val="40"/>
                <w:lang w:val="en-US" w:eastAsia="zh-CN"/>
              </w:rPr>
              <w:t>局</w:t>
            </w:r>
            <w:r>
              <w:rPr>
                <w:rFonts w:ascii="方正小标宋简体" w:hAnsi="方正小标宋简体" w:eastAsia="方正小标宋简体" w:cs="方正小标宋简体"/>
                <w:color w:val="000000"/>
                <w:kern w:val="0"/>
                <w:sz w:val="40"/>
                <w:szCs w:val="40"/>
              </w:rPr>
              <w:t>随机抽查事项清单</w:t>
            </w:r>
          </w:p>
        </w:tc>
      </w:tr>
      <w:tr>
        <w:tblPrEx>
          <w:tblCellMar>
            <w:top w:w="0" w:type="dxa"/>
            <w:left w:w="0" w:type="dxa"/>
            <w:bottom w:w="0" w:type="dxa"/>
            <w:right w:w="0" w:type="dxa"/>
          </w:tblCellMar>
        </w:tblPrEx>
        <w:trPr>
          <w:gridAfter w:val="1"/>
          <w:wAfter w:w="20" w:type="dxa"/>
          <w:trHeight w:val="402" w:hRule="atLeast"/>
        </w:trPr>
        <w:tc>
          <w:tcPr>
            <w:tcW w:w="13680" w:type="dxa"/>
            <w:gridSpan w:val="12"/>
            <w:tcBorders>
              <w:top w:val="nil"/>
              <w:left w:val="nil"/>
              <w:bottom w:val="single" w:color="000000" w:sz="4" w:space="0"/>
              <w:right w:val="nil"/>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4"/>
                <w:szCs w:val="24"/>
              </w:rPr>
            </w:pPr>
          </w:p>
        </w:tc>
      </w:tr>
      <w:tr>
        <w:tblPrEx>
          <w:tblCellMar>
            <w:top w:w="0" w:type="dxa"/>
            <w:left w:w="0" w:type="dxa"/>
            <w:bottom w:w="0" w:type="dxa"/>
            <w:right w:w="0" w:type="dxa"/>
          </w:tblCellMar>
        </w:tblPrEx>
        <w:trPr>
          <w:gridAfter w:val="1"/>
          <w:wAfter w:w="20" w:type="dxa"/>
          <w:trHeight w:val="725" w:hRule="atLeast"/>
        </w:trPr>
        <w:tc>
          <w:tcPr>
            <w:tcW w:w="5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黑体" w:hAnsi="宋体" w:eastAsia="黑体" w:cs="黑体"/>
                <w:color w:val="000000"/>
                <w:sz w:val="24"/>
                <w:szCs w:val="24"/>
              </w:rPr>
            </w:pPr>
            <w:r>
              <w:rPr>
                <w:rFonts w:hint="eastAsia" w:ascii="黑体" w:hAnsi="宋体" w:eastAsia="黑体" w:cs="黑体"/>
                <w:color w:val="000000"/>
                <w:kern w:val="0"/>
                <w:sz w:val="24"/>
                <w:szCs w:val="24"/>
              </w:rPr>
              <w:t>序号</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黑体" w:hAnsi="宋体" w:eastAsia="黑体" w:cs="黑体"/>
                <w:color w:val="000000"/>
                <w:sz w:val="24"/>
                <w:szCs w:val="24"/>
              </w:rPr>
            </w:pPr>
            <w:r>
              <w:rPr>
                <w:rFonts w:hint="eastAsia" w:ascii="黑体" w:hAnsi="宋体" w:eastAsia="黑体" w:cs="黑体"/>
                <w:color w:val="000000"/>
                <w:kern w:val="0"/>
                <w:sz w:val="24"/>
                <w:szCs w:val="24"/>
              </w:rPr>
              <w:t>抽查事项名称</w:t>
            </w:r>
          </w:p>
        </w:tc>
        <w:tc>
          <w:tcPr>
            <w:tcW w:w="538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黑体" w:hAnsi="宋体" w:eastAsia="黑体" w:cs="黑体"/>
                <w:color w:val="000000"/>
                <w:sz w:val="24"/>
                <w:szCs w:val="24"/>
              </w:rPr>
            </w:pPr>
            <w:r>
              <w:rPr>
                <w:rFonts w:hint="eastAsia" w:ascii="黑体" w:hAnsi="宋体" w:eastAsia="黑体" w:cs="黑体"/>
                <w:color w:val="000000"/>
                <w:kern w:val="0"/>
                <w:sz w:val="24"/>
                <w:szCs w:val="24"/>
              </w:rPr>
              <w:t>抽查依据</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黑体" w:hAnsi="宋体" w:eastAsia="黑体" w:cs="黑体"/>
                <w:color w:val="000000"/>
                <w:sz w:val="24"/>
                <w:szCs w:val="24"/>
              </w:rPr>
            </w:pPr>
            <w:r>
              <w:rPr>
                <w:rFonts w:hint="eastAsia" w:ascii="黑体" w:hAnsi="宋体" w:eastAsia="黑体" w:cs="黑体"/>
                <w:color w:val="000000"/>
                <w:kern w:val="0"/>
                <w:sz w:val="24"/>
                <w:szCs w:val="24"/>
              </w:rPr>
              <w:t>抽查主体</w:t>
            </w:r>
          </w:p>
        </w:tc>
        <w:tc>
          <w:tcPr>
            <w:tcW w:w="481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黑体" w:hAnsi="宋体" w:eastAsia="黑体" w:cs="黑体"/>
                <w:color w:val="000000"/>
                <w:sz w:val="24"/>
                <w:szCs w:val="24"/>
              </w:rPr>
            </w:pPr>
            <w:r>
              <w:rPr>
                <w:rFonts w:hint="eastAsia" w:ascii="黑体" w:hAnsi="宋体" w:eastAsia="黑体" w:cs="黑体"/>
                <w:color w:val="000000"/>
                <w:kern w:val="0"/>
                <w:sz w:val="24"/>
                <w:szCs w:val="24"/>
              </w:rPr>
              <w:t>抽查内容</w:t>
            </w:r>
          </w:p>
        </w:tc>
        <w:tc>
          <w:tcPr>
            <w:tcW w:w="5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黑体" w:hAnsi="宋体" w:eastAsia="黑体" w:cs="黑体"/>
                <w:color w:val="000000"/>
                <w:sz w:val="24"/>
                <w:szCs w:val="24"/>
              </w:rPr>
            </w:pPr>
            <w:r>
              <w:rPr>
                <w:rFonts w:hint="eastAsia" w:ascii="黑体" w:hAnsi="宋体" w:eastAsia="黑体" w:cs="黑体"/>
                <w:color w:val="000000"/>
                <w:kern w:val="0"/>
                <w:sz w:val="24"/>
                <w:szCs w:val="24"/>
              </w:rPr>
              <w:t>抽查方式</w:t>
            </w:r>
          </w:p>
        </w:tc>
        <w:tc>
          <w:tcPr>
            <w:tcW w:w="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黑体" w:hAnsi="宋体" w:eastAsia="黑体" w:cs="黑体"/>
                <w:color w:val="000000"/>
                <w:sz w:val="24"/>
                <w:szCs w:val="24"/>
              </w:rPr>
            </w:pPr>
            <w:r>
              <w:rPr>
                <w:rFonts w:hint="eastAsia" w:ascii="黑体" w:hAnsi="宋体" w:eastAsia="黑体" w:cs="黑体"/>
                <w:color w:val="000000"/>
                <w:kern w:val="0"/>
                <w:sz w:val="24"/>
                <w:szCs w:val="24"/>
              </w:rPr>
              <w:t>备  注</w:t>
            </w:r>
          </w:p>
        </w:tc>
      </w:tr>
      <w:tr>
        <w:tblPrEx>
          <w:tblCellMar>
            <w:top w:w="0" w:type="dxa"/>
            <w:left w:w="0" w:type="dxa"/>
            <w:bottom w:w="0" w:type="dxa"/>
            <w:right w:w="0" w:type="dxa"/>
          </w:tblCellMar>
        </w:tblPrEx>
        <w:trPr>
          <w:gridAfter w:val="1"/>
          <w:wAfter w:w="20" w:type="dxa"/>
          <w:trHeight w:val="439" w:hRule="atLeast"/>
        </w:trPr>
        <w:tc>
          <w:tcPr>
            <w:tcW w:w="5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黑体" w:hAnsi="黑体" w:eastAsia="黑体" w:cs="宋体"/>
                <w:color w:val="000000"/>
                <w:sz w:val="24"/>
                <w:szCs w:val="24"/>
              </w:rPr>
            </w:pPr>
            <w:r>
              <w:rPr>
                <w:rFonts w:hint="eastAsia" w:ascii="黑体" w:hAnsi="黑体" w:eastAsia="黑体"/>
                <w:color w:val="000000"/>
              </w:rPr>
              <w:t>1</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宋体" w:hAnsi="宋体" w:cs="宋体"/>
                <w:sz w:val="24"/>
                <w:szCs w:val="24"/>
              </w:rPr>
            </w:pPr>
            <w:r>
              <w:rPr>
                <w:rFonts w:hint="eastAsia"/>
              </w:rPr>
              <w:t>水质卫生</w:t>
            </w:r>
          </w:p>
        </w:tc>
        <w:tc>
          <w:tcPr>
            <w:tcW w:w="538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宋体" w:hAnsi="宋体" w:cs="宋体"/>
                <w:sz w:val="24"/>
                <w:szCs w:val="24"/>
              </w:rPr>
            </w:pPr>
            <w:r>
              <w:rPr>
                <w:rFonts w:hint="eastAsia"/>
              </w:rPr>
              <w:t>《传染病防治法》第29条；《生活饮用水卫生监督管理办法》、《集中式供水单位卫生规范》、《二次供水单位卫生规范》、《生活饮用水卫生标准GB5749—2006》；《卫生监督机构绩效考核指标》</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lang w:val="en-US" w:eastAsia="zh-CN"/>
              </w:rPr>
            </w:pPr>
          </w:p>
          <w:p>
            <w:pPr>
              <w:rPr>
                <w:rFonts w:hint="eastAsia"/>
                <w:lang w:val="en-US" w:eastAsia="zh-CN"/>
              </w:rPr>
            </w:pPr>
          </w:p>
          <w:p>
            <w:pPr>
              <w:rPr>
                <w:rFonts w:ascii="宋体" w:hAnsi="宋体" w:cs="宋体"/>
                <w:sz w:val="24"/>
                <w:szCs w:val="24"/>
              </w:rPr>
            </w:pPr>
            <w:r>
              <w:rPr>
                <w:rFonts w:hint="eastAsia"/>
                <w:lang w:val="en-US" w:eastAsia="zh-CN"/>
              </w:rPr>
              <w:t>伊通满族自治县</w:t>
            </w:r>
            <w:r>
              <w:rPr>
                <w:rFonts w:hint="eastAsia"/>
              </w:rPr>
              <w:t>卫生局卫生监督所</w:t>
            </w:r>
          </w:p>
          <w:p>
            <w:pPr>
              <w:rPr>
                <w:rFonts w:ascii="宋体" w:hAnsi="宋体" w:cs="宋体"/>
                <w:color w:val="000000"/>
                <w:sz w:val="24"/>
                <w:szCs w:val="24"/>
              </w:rPr>
            </w:pPr>
          </w:p>
        </w:tc>
        <w:tc>
          <w:tcPr>
            <w:tcW w:w="481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宋体" w:hAnsi="宋体" w:cs="宋体"/>
                <w:sz w:val="24"/>
                <w:szCs w:val="24"/>
              </w:rPr>
            </w:pPr>
            <w:r>
              <w:rPr>
                <w:rFonts w:hint="eastAsia"/>
              </w:rPr>
              <w:t>1、生活饮用水供应卫生管理法律法规规章规范及标准制度实施情况；2、新改扩建供水项目选址、设计的预防性卫生监督；3、申请供水卫生许可的现场审查；4、违法违规行为的调查与处理；5、饮用水卫生举报和饮用水污染事件的调查与处置；5、饮用水卫生监测样品采集和现场监测；6、国家、省、爱卫会等部门供水卫生检查的迎检准备；7、重大活动卫生监督保障；8、水质卫生专项集中检查行动。</w:t>
            </w:r>
          </w:p>
        </w:tc>
        <w:tc>
          <w:tcPr>
            <w:tcW w:w="5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r>
              <w:rPr>
                <w:rFonts w:hint="eastAsia"/>
              </w:rPr>
              <w:t>随机抽取、现场检查</w:t>
            </w:r>
          </w:p>
        </w:tc>
        <w:tc>
          <w:tcPr>
            <w:tcW w:w="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tc>
      </w:tr>
      <w:tr>
        <w:tblPrEx>
          <w:tblCellMar>
            <w:top w:w="0" w:type="dxa"/>
            <w:left w:w="0" w:type="dxa"/>
            <w:bottom w:w="0" w:type="dxa"/>
            <w:right w:w="0" w:type="dxa"/>
          </w:tblCellMar>
        </w:tblPrEx>
        <w:trPr>
          <w:gridAfter w:val="1"/>
          <w:wAfter w:w="20" w:type="dxa"/>
          <w:trHeight w:val="415" w:hRule="atLeast"/>
        </w:trPr>
        <w:tc>
          <w:tcPr>
            <w:tcW w:w="5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黑体" w:hAnsi="黑体" w:eastAsia="黑体" w:cs="宋体"/>
                <w:color w:val="000000"/>
                <w:sz w:val="24"/>
                <w:szCs w:val="24"/>
              </w:rPr>
            </w:pPr>
            <w:r>
              <w:rPr>
                <w:rFonts w:hint="eastAsia" w:ascii="黑体" w:hAnsi="黑体" w:eastAsia="黑体"/>
                <w:color w:val="000000"/>
              </w:rPr>
              <w:t>2</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宋体" w:hAnsi="宋体" w:cs="宋体"/>
                <w:sz w:val="24"/>
                <w:szCs w:val="24"/>
              </w:rPr>
            </w:pPr>
            <w:r>
              <w:rPr>
                <w:rFonts w:hint="eastAsia"/>
              </w:rPr>
              <w:t>公共场所卫生</w:t>
            </w:r>
          </w:p>
        </w:tc>
        <w:tc>
          <w:tcPr>
            <w:tcW w:w="538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宋体" w:hAnsi="宋体" w:cs="宋体"/>
                <w:sz w:val="24"/>
                <w:szCs w:val="24"/>
              </w:rPr>
            </w:pPr>
            <w:r>
              <w:rPr>
                <w:rFonts w:hint="eastAsia"/>
              </w:rPr>
              <w:t>《传染病防治法》、《公共场所卫生管理条例》及实施细则、《公共场所卫生监督量化分级管理指南》、《卫生监督机构绩效考核指标》</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宋体" w:hAnsi="宋体" w:cs="宋体"/>
                <w:sz w:val="24"/>
                <w:szCs w:val="24"/>
              </w:rPr>
            </w:pPr>
            <w:r>
              <w:rPr>
                <w:rFonts w:hint="eastAsia"/>
                <w:lang w:val="en-US" w:eastAsia="zh-CN"/>
              </w:rPr>
              <w:t>伊通满族自治县</w:t>
            </w:r>
            <w:r>
              <w:rPr>
                <w:rFonts w:hint="eastAsia"/>
              </w:rPr>
              <w:t>卫生局卫生监督所</w:t>
            </w:r>
          </w:p>
          <w:p>
            <w:pPr>
              <w:rPr>
                <w:rFonts w:ascii="宋体" w:hAnsi="宋体" w:cs="宋体"/>
                <w:color w:val="333333"/>
                <w:sz w:val="24"/>
                <w:szCs w:val="24"/>
              </w:rPr>
            </w:pPr>
            <w:r>
              <w:rPr>
                <w:rFonts w:hint="eastAsia"/>
              </w:rPr>
              <w:t>、市场监管部门、税务部门</w:t>
            </w:r>
          </w:p>
        </w:tc>
        <w:tc>
          <w:tcPr>
            <w:tcW w:w="481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宋体" w:hAnsi="宋体" w:cs="宋体"/>
                <w:sz w:val="24"/>
                <w:szCs w:val="24"/>
              </w:rPr>
            </w:pPr>
            <w:r>
              <w:rPr>
                <w:rFonts w:hint="eastAsia"/>
              </w:rPr>
              <w:t>1、公共场所卫生管理法律法规规章规范及标准制度实施情况；2、新改扩建单位的卫生审查；3、申请卫生许可的现场审查；4、违法违规行为的调查与处理；5、举报和公共场所健康危害事件的调查与处置；5、现场卫生监测；6、国家、省、爱卫会等部门的迎检准备；7、重大活动卫生监督保障；8、专项执法集中行动；9、公共场所卫生监督量化分级管理评价</w:t>
            </w:r>
          </w:p>
        </w:tc>
        <w:tc>
          <w:tcPr>
            <w:tcW w:w="5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r>
              <w:rPr>
                <w:rFonts w:hint="eastAsia"/>
              </w:rPr>
              <w:t>随机抽取、现场检查</w:t>
            </w:r>
          </w:p>
        </w:tc>
        <w:tc>
          <w:tcPr>
            <w:tcW w:w="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tc>
      </w:tr>
      <w:tr>
        <w:tblPrEx>
          <w:tblCellMar>
            <w:top w:w="0" w:type="dxa"/>
            <w:left w:w="0" w:type="dxa"/>
            <w:bottom w:w="0" w:type="dxa"/>
            <w:right w:w="0" w:type="dxa"/>
          </w:tblCellMar>
        </w:tblPrEx>
        <w:trPr>
          <w:gridAfter w:val="1"/>
          <w:wAfter w:w="20" w:type="dxa"/>
          <w:trHeight w:val="415" w:hRule="atLeast"/>
        </w:trPr>
        <w:tc>
          <w:tcPr>
            <w:tcW w:w="5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黑体" w:hAnsi="黑体" w:eastAsia="黑体" w:cs="宋体"/>
                <w:color w:val="000000"/>
                <w:sz w:val="24"/>
                <w:szCs w:val="24"/>
              </w:rPr>
            </w:pPr>
            <w:r>
              <w:rPr>
                <w:rFonts w:hint="eastAsia" w:ascii="黑体" w:hAnsi="黑体" w:eastAsia="黑体"/>
                <w:color w:val="000000"/>
              </w:rPr>
              <w:t>3</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宋体" w:hAnsi="宋体" w:cs="宋体"/>
                <w:sz w:val="24"/>
                <w:szCs w:val="24"/>
              </w:rPr>
            </w:pPr>
            <w:r>
              <w:rPr>
                <w:rFonts w:hint="eastAsia"/>
              </w:rPr>
              <w:t>医疗机构卫生</w:t>
            </w:r>
          </w:p>
        </w:tc>
        <w:tc>
          <w:tcPr>
            <w:tcW w:w="538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宋体" w:hAnsi="宋体" w:cs="宋体"/>
                <w:sz w:val="24"/>
                <w:szCs w:val="24"/>
              </w:rPr>
            </w:pPr>
            <w:r>
              <w:rPr>
                <w:rFonts w:hint="eastAsia"/>
              </w:rPr>
              <w:t>《传染病防治法》、《执业医师法》、《母婴保健法》及实施办法、《献血法》、《职业病防治法》、《医疗机构管理条例》及其实施细则、《护士条例》、《医疗废物管理条例》、《乡村医生从业管理条例》、《处方管理办法》、《医院感染管理办法》、《消毒管理办法》；《卫生监督机构绩效考核指标》《母婴保健法实施办法》《人口与计划生育法》《计划生育技术服务管理条例》《吉林省人口与计划生育条例》《吉林省母婴保健条例》</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宋体" w:hAnsi="宋体" w:cs="宋体"/>
                <w:sz w:val="24"/>
                <w:szCs w:val="24"/>
              </w:rPr>
            </w:pPr>
            <w:r>
              <w:rPr>
                <w:rFonts w:hint="eastAsia"/>
                <w:lang w:val="en-US" w:eastAsia="zh-CN"/>
              </w:rPr>
              <w:t>伊通满族自治县</w:t>
            </w:r>
            <w:r>
              <w:rPr>
                <w:rFonts w:hint="eastAsia"/>
              </w:rPr>
              <w:t>卫生局卫生监督所</w:t>
            </w:r>
          </w:p>
        </w:tc>
        <w:tc>
          <w:tcPr>
            <w:tcW w:w="481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宋体" w:hAnsi="宋体" w:cs="宋体"/>
                <w:sz w:val="24"/>
                <w:szCs w:val="24"/>
              </w:rPr>
            </w:pPr>
            <w:r>
              <w:rPr>
                <w:rFonts w:hint="eastAsia"/>
              </w:rPr>
              <w:t>1、医疗采供血机构执业管理；2、医师、护士、乡村医生执</w:t>
            </w:r>
            <w:bookmarkStart w:id="0" w:name="_GoBack"/>
            <w:bookmarkEnd w:id="0"/>
            <w:r>
              <w:rPr>
                <w:rFonts w:hint="eastAsia"/>
              </w:rPr>
              <w:t>业管理；3、消毒、医院感染、医疗废物、药物处方、母婴保健、传染病防控等管理；4、消毒效果卫生监测；5、违法违规行为的调查与处理；6、举报和健康危害事件的调查与处置；6、国家、省、爱卫会等部门的迎检准备；8、专项执法集中行动；9上级卫生行政部门部署的其它督查工作</w:t>
            </w:r>
          </w:p>
        </w:tc>
        <w:tc>
          <w:tcPr>
            <w:tcW w:w="5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r>
              <w:rPr>
                <w:rFonts w:hint="eastAsia"/>
              </w:rPr>
              <w:t>随机抽取、现场检查</w:t>
            </w:r>
          </w:p>
        </w:tc>
        <w:tc>
          <w:tcPr>
            <w:tcW w:w="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tc>
      </w:tr>
      <w:tr>
        <w:tblPrEx>
          <w:tblCellMar>
            <w:top w:w="0" w:type="dxa"/>
            <w:left w:w="0" w:type="dxa"/>
            <w:bottom w:w="0" w:type="dxa"/>
            <w:right w:w="0" w:type="dxa"/>
          </w:tblCellMar>
        </w:tblPrEx>
        <w:trPr>
          <w:gridAfter w:val="1"/>
          <w:wAfter w:w="20" w:type="dxa"/>
          <w:trHeight w:val="415" w:hRule="atLeast"/>
        </w:trPr>
        <w:tc>
          <w:tcPr>
            <w:tcW w:w="5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黑体" w:hAnsi="黑体" w:eastAsia="黑体" w:cs="宋体"/>
                <w:color w:val="000000"/>
                <w:sz w:val="24"/>
                <w:szCs w:val="24"/>
              </w:rPr>
            </w:pPr>
            <w:r>
              <w:rPr>
                <w:rFonts w:hint="eastAsia" w:ascii="黑体" w:hAnsi="黑体" w:eastAsia="黑体"/>
                <w:color w:val="000000"/>
              </w:rPr>
              <w:t>4</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r>
              <w:rPr>
                <w:rFonts w:hint="eastAsia"/>
              </w:rPr>
              <w:t>放射诊疗机构卫生</w:t>
            </w:r>
          </w:p>
          <w:p>
            <w:pPr>
              <w:rPr>
                <w:rFonts w:ascii="华文宋体" w:hAnsi="华文宋体" w:eastAsia="华文宋体" w:cs="宋体"/>
                <w:sz w:val="24"/>
                <w:szCs w:val="24"/>
              </w:rPr>
            </w:pPr>
          </w:p>
        </w:tc>
        <w:tc>
          <w:tcPr>
            <w:tcW w:w="538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宋体" w:hAnsi="宋体" w:cs="宋体"/>
                <w:sz w:val="24"/>
                <w:szCs w:val="24"/>
              </w:rPr>
            </w:pPr>
            <w:r>
              <w:rPr>
                <w:rFonts w:hint="eastAsia"/>
              </w:rPr>
              <w:t>《职业病防治法》、《放射性同位素与射线装置安全与防护条例》、《放射工作人员职业健康管理办法》、《放射诊疗管理规定》；《卫生监督机构绩效考核指标》</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宋体" w:hAnsi="宋体" w:cs="宋体"/>
                <w:color w:val="000000"/>
                <w:sz w:val="24"/>
                <w:szCs w:val="24"/>
              </w:rPr>
            </w:pPr>
            <w:r>
              <w:rPr>
                <w:rFonts w:hint="eastAsia"/>
                <w:lang w:val="en-US" w:eastAsia="zh-CN"/>
              </w:rPr>
              <w:t>伊通满族自治县</w:t>
            </w:r>
            <w:r>
              <w:rPr>
                <w:rFonts w:hint="eastAsia"/>
              </w:rPr>
              <w:t>卫生局卫生监督所</w:t>
            </w:r>
          </w:p>
        </w:tc>
        <w:tc>
          <w:tcPr>
            <w:tcW w:w="481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宋体" w:hAnsi="宋体" w:cs="宋体"/>
                <w:sz w:val="24"/>
                <w:szCs w:val="24"/>
              </w:rPr>
            </w:pPr>
            <w:r>
              <w:rPr>
                <w:rFonts w:hint="eastAsia"/>
              </w:rPr>
              <w:t>《职业病防治法》、《放射性同位素与射线装置安全与防护条例》、《放射工作人员职业健康管理办法》、《放射诊疗管理规定》；《卫生监督机构绩效考核指标》</w:t>
            </w:r>
          </w:p>
        </w:tc>
        <w:tc>
          <w:tcPr>
            <w:tcW w:w="5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r>
              <w:rPr>
                <w:rFonts w:hint="eastAsia"/>
              </w:rPr>
              <w:t>随机抽取、现场检查</w:t>
            </w:r>
          </w:p>
        </w:tc>
        <w:tc>
          <w:tcPr>
            <w:tcW w:w="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tc>
      </w:tr>
      <w:tr>
        <w:tblPrEx>
          <w:tblCellMar>
            <w:top w:w="0" w:type="dxa"/>
            <w:left w:w="0" w:type="dxa"/>
            <w:bottom w:w="0" w:type="dxa"/>
            <w:right w:w="0" w:type="dxa"/>
          </w:tblCellMar>
        </w:tblPrEx>
        <w:trPr>
          <w:gridAfter w:val="1"/>
          <w:wAfter w:w="20" w:type="dxa"/>
          <w:trHeight w:val="415" w:hRule="atLeast"/>
        </w:trPr>
        <w:tc>
          <w:tcPr>
            <w:tcW w:w="5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黑体" w:hAnsi="黑体" w:eastAsia="黑体" w:cs="宋体"/>
                <w:color w:val="000000"/>
                <w:sz w:val="24"/>
                <w:szCs w:val="24"/>
              </w:rPr>
            </w:pPr>
            <w:r>
              <w:rPr>
                <w:rFonts w:hint="eastAsia" w:ascii="黑体" w:hAnsi="黑体" w:eastAsia="黑体"/>
                <w:color w:val="000000"/>
              </w:rPr>
              <w:t>5</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宋体" w:hAnsi="宋体" w:cs="宋体"/>
                <w:sz w:val="24"/>
                <w:szCs w:val="24"/>
              </w:rPr>
            </w:pPr>
            <w:r>
              <w:rPr>
                <w:rFonts w:hint="eastAsia"/>
              </w:rPr>
              <w:t>学校卫生</w:t>
            </w:r>
          </w:p>
        </w:tc>
        <w:tc>
          <w:tcPr>
            <w:tcW w:w="538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宋体" w:hAnsi="宋体" w:cs="宋体"/>
                <w:sz w:val="24"/>
                <w:szCs w:val="24"/>
              </w:rPr>
            </w:pPr>
            <w:r>
              <w:rPr>
                <w:rFonts w:hint="eastAsia"/>
              </w:rPr>
              <w:t>《传染病防治法》、《学校卫生工作条例》、《执业医师法》、《医疗机构管理条例》及其实施细则、《医疗废物管理条例》、《公共场所管理条例》、《生活饮用水卫生监督管理办法》、《中小学幼儿园安全管理办法》；《卫生监督机构绩效考核指标》</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宋体" w:hAnsi="宋体" w:cs="宋体"/>
                <w:sz w:val="24"/>
                <w:szCs w:val="24"/>
              </w:rPr>
            </w:pPr>
            <w:r>
              <w:rPr>
                <w:rFonts w:hint="eastAsia"/>
                <w:lang w:val="en-US" w:eastAsia="zh-CN"/>
              </w:rPr>
              <w:t>伊通满族自治县</w:t>
            </w:r>
            <w:r>
              <w:rPr>
                <w:rFonts w:hint="eastAsia"/>
              </w:rPr>
              <w:t>卫生局卫生监督所</w:t>
            </w:r>
          </w:p>
          <w:p>
            <w:pPr>
              <w:rPr>
                <w:rFonts w:ascii="宋体" w:hAnsi="宋体" w:cs="宋体"/>
                <w:sz w:val="24"/>
                <w:szCs w:val="24"/>
              </w:rPr>
            </w:pPr>
            <w:r>
              <w:rPr>
                <w:rFonts w:hint="eastAsia"/>
              </w:rPr>
              <w:t>、教育部门</w:t>
            </w:r>
          </w:p>
        </w:tc>
        <w:tc>
          <w:tcPr>
            <w:tcW w:w="481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宋体" w:hAnsi="宋体" w:cs="宋体"/>
                <w:sz w:val="24"/>
                <w:szCs w:val="24"/>
              </w:rPr>
            </w:pPr>
            <w:r>
              <w:rPr>
                <w:rFonts w:hint="eastAsia"/>
              </w:rPr>
              <w:t>1、学校教学环境卫生；2、学校传染病及学生常见病防控；3、学校医疗机构、公共场所、水质等卫生监督；4、违法违规行为的调查与处理；5、举报和健康危害事件的调查与处置；6、国家、省、爱卫会等部门的迎检准备；7、疫情防控督察</w:t>
            </w:r>
          </w:p>
        </w:tc>
        <w:tc>
          <w:tcPr>
            <w:tcW w:w="5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r>
              <w:rPr>
                <w:rFonts w:hint="eastAsia"/>
              </w:rPr>
              <w:t>随机抽取、现场检查</w:t>
            </w:r>
          </w:p>
        </w:tc>
        <w:tc>
          <w:tcPr>
            <w:tcW w:w="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tc>
      </w:tr>
      <w:tr>
        <w:tblPrEx>
          <w:tblCellMar>
            <w:top w:w="0" w:type="dxa"/>
            <w:left w:w="0" w:type="dxa"/>
            <w:bottom w:w="0" w:type="dxa"/>
            <w:right w:w="0" w:type="dxa"/>
          </w:tblCellMar>
        </w:tblPrEx>
        <w:trPr>
          <w:gridAfter w:val="1"/>
          <w:wAfter w:w="20" w:type="dxa"/>
          <w:trHeight w:val="426" w:hRule="atLeast"/>
        </w:trPr>
        <w:tc>
          <w:tcPr>
            <w:tcW w:w="5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黑体" w:hAnsi="黑体" w:eastAsia="黑体" w:cs="宋体"/>
                <w:color w:val="000000"/>
                <w:sz w:val="24"/>
                <w:szCs w:val="24"/>
              </w:rPr>
            </w:pPr>
            <w:r>
              <w:rPr>
                <w:rFonts w:hint="eastAsia" w:ascii="黑体" w:hAnsi="黑体" w:eastAsia="黑体"/>
                <w:color w:val="000000"/>
              </w:rPr>
              <w:t>6</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宋体" w:hAnsi="宋体" w:cs="宋体"/>
                <w:sz w:val="24"/>
                <w:szCs w:val="24"/>
              </w:rPr>
            </w:pPr>
            <w:r>
              <w:rPr>
                <w:rFonts w:hint="eastAsia"/>
              </w:rPr>
              <w:t>消毒卫生</w:t>
            </w:r>
          </w:p>
        </w:tc>
        <w:tc>
          <w:tcPr>
            <w:tcW w:w="538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宋体" w:hAnsi="宋体" w:cs="宋体"/>
                <w:sz w:val="24"/>
                <w:szCs w:val="24"/>
              </w:rPr>
            </w:pPr>
            <w:r>
              <w:rPr>
                <w:rFonts w:hint="eastAsia"/>
              </w:rPr>
              <w:t>《传染病防治法》、《消毒管理办法》、《餐饮具集中消毒单位卫生监督规范》；《卫生监督机构绩效考核指标》</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宋体" w:hAnsi="宋体" w:cs="宋体"/>
                <w:sz w:val="24"/>
                <w:szCs w:val="24"/>
              </w:rPr>
            </w:pPr>
            <w:r>
              <w:rPr>
                <w:rFonts w:hint="eastAsia"/>
                <w:lang w:val="en-US" w:eastAsia="zh-CN"/>
              </w:rPr>
              <w:t>伊通满族自治县</w:t>
            </w:r>
            <w:r>
              <w:rPr>
                <w:rFonts w:hint="eastAsia"/>
              </w:rPr>
              <w:t>卫生局卫生监督所</w:t>
            </w:r>
          </w:p>
          <w:p>
            <w:pPr>
              <w:rPr>
                <w:rFonts w:ascii="宋体" w:hAnsi="宋体" w:cs="宋体"/>
                <w:color w:val="000000"/>
                <w:sz w:val="24"/>
                <w:szCs w:val="24"/>
              </w:rPr>
            </w:pPr>
          </w:p>
        </w:tc>
        <w:tc>
          <w:tcPr>
            <w:tcW w:w="481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宋体" w:hAnsi="宋体" w:cs="宋体"/>
                <w:sz w:val="24"/>
                <w:szCs w:val="24"/>
              </w:rPr>
            </w:pPr>
            <w:r>
              <w:rPr>
                <w:rFonts w:hint="eastAsia"/>
              </w:rPr>
              <w:t>1、消毒生产单位的卫生许可和从业人员的健康体检与卫生培训管理；2、消毒产品经营单位索证管理；3、消毒技术服务机构的卫生管理和餐饮具集中消毒单位的现场卫生检查监督；4、举报及违法违规行为的调查与处理</w:t>
            </w:r>
          </w:p>
        </w:tc>
        <w:tc>
          <w:tcPr>
            <w:tcW w:w="5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r>
              <w:rPr>
                <w:rFonts w:hint="eastAsia"/>
              </w:rPr>
              <w:t>随机抽取、现场检查</w:t>
            </w:r>
          </w:p>
        </w:tc>
        <w:tc>
          <w:tcPr>
            <w:tcW w:w="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tc>
      </w:tr>
      <w:tr>
        <w:tblPrEx>
          <w:tblCellMar>
            <w:top w:w="0" w:type="dxa"/>
            <w:left w:w="0" w:type="dxa"/>
            <w:bottom w:w="0" w:type="dxa"/>
            <w:right w:w="0" w:type="dxa"/>
          </w:tblCellMar>
        </w:tblPrEx>
        <w:trPr>
          <w:trHeight w:val="512" w:hRule="atLeast"/>
        </w:trPr>
        <w:tc>
          <w:tcPr>
            <w:tcW w:w="4331" w:type="dxa"/>
            <w:gridSpan w:val="3"/>
            <w:tcBorders>
              <w:top w:val="nil"/>
              <w:left w:val="nil"/>
              <w:bottom w:val="nil"/>
              <w:right w:val="nil"/>
            </w:tcBorders>
            <w:shd w:val="clear" w:color="auto" w:fill="auto"/>
            <w:tcMar>
              <w:top w:w="15" w:type="dxa"/>
              <w:left w:w="15" w:type="dxa"/>
              <w:right w:w="15" w:type="dxa"/>
            </w:tcMar>
            <w:vAlign w:val="center"/>
          </w:tcPr>
          <w:p>
            <w:pPr>
              <w:rPr>
                <w:rFonts w:ascii="宋体" w:hAnsi="宋体" w:cs="宋体"/>
                <w:color w:val="000000"/>
                <w:sz w:val="24"/>
                <w:szCs w:val="24"/>
              </w:rPr>
            </w:pPr>
          </w:p>
        </w:tc>
        <w:tc>
          <w:tcPr>
            <w:tcW w:w="1416" w:type="dxa"/>
            <w:tcBorders>
              <w:top w:val="nil"/>
              <w:left w:val="nil"/>
              <w:bottom w:val="nil"/>
              <w:right w:val="nil"/>
            </w:tcBorders>
            <w:shd w:val="clear" w:color="auto" w:fill="auto"/>
            <w:tcMar>
              <w:top w:w="15" w:type="dxa"/>
              <w:left w:w="15" w:type="dxa"/>
              <w:right w:w="15" w:type="dxa"/>
            </w:tcMar>
            <w:vAlign w:val="center"/>
          </w:tcPr>
          <w:p>
            <w:pPr>
              <w:rPr>
                <w:rFonts w:ascii="宋体" w:hAnsi="宋体" w:cs="宋体"/>
                <w:color w:val="000000"/>
                <w:sz w:val="24"/>
                <w:szCs w:val="24"/>
              </w:rPr>
            </w:pPr>
          </w:p>
        </w:tc>
        <w:tc>
          <w:tcPr>
            <w:tcW w:w="3500" w:type="dxa"/>
            <w:gridSpan w:val="3"/>
            <w:tcBorders>
              <w:top w:val="nil"/>
              <w:left w:val="nil"/>
              <w:bottom w:val="nil"/>
              <w:right w:val="nil"/>
            </w:tcBorders>
            <w:shd w:val="clear" w:color="auto" w:fill="auto"/>
            <w:tcMar>
              <w:top w:w="15" w:type="dxa"/>
              <w:left w:w="15" w:type="dxa"/>
              <w:right w:w="15" w:type="dxa"/>
            </w:tcMar>
            <w:vAlign w:val="center"/>
          </w:tcPr>
          <w:p>
            <w:pPr>
              <w:rPr>
                <w:rFonts w:ascii="宋体" w:hAnsi="宋体" w:cs="宋体"/>
                <w:color w:val="000000"/>
                <w:sz w:val="24"/>
                <w:szCs w:val="24"/>
              </w:rPr>
            </w:pPr>
          </w:p>
        </w:tc>
        <w:tc>
          <w:tcPr>
            <w:tcW w:w="1607" w:type="dxa"/>
            <w:tcBorders>
              <w:top w:val="nil"/>
              <w:left w:val="nil"/>
              <w:bottom w:val="nil"/>
              <w:right w:val="nil"/>
            </w:tcBorders>
            <w:shd w:val="clear" w:color="auto" w:fill="auto"/>
            <w:tcMar>
              <w:top w:w="15" w:type="dxa"/>
              <w:left w:w="15" w:type="dxa"/>
              <w:right w:w="15" w:type="dxa"/>
            </w:tcMar>
            <w:vAlign w:val="center"/>
          </w:tcPr>
          <w:p>
            <w:pPr>
              <w:rPr>
                <w:rFonts w:ascii="宋体" w:hAnsi="宋体" w:cs="宋体"/>
                <w:color w:val="000000"/>
                <w:sz w:val="24"/>
                <w:szCs w:val="24"/>
              </w:rPr>
            </w:pPr>
          </w:p>
        </w:tc>
        <w:tc>
          <w:tcPr>
            <w:tcW w:w="1657" w:type="dxa"/>
            <w:gridSpan w:val="2"/>
            <w:tcBorders>
              <w:top w:val="nil"/>
              <w:left w:val="nil"/>
              <w:bottom w:val="nil"/>
              <w:right w:val="nil"/>
            </w:tcBorders>
            <w:shd w:val="clear" w:color="auto" w:fill="auto"/>
            <w:tcMar>
              <w:top w:w="15" w:type="dxa"/>
              <w:left w:w="15" w:type="dxa"/>
              <w:right w:w="15" w:type="dxa"/>
            </w:tcMar>
            <w:vAlign w:val="center"/>
          </w:tcPr>
          <w:p>
            <w:pPr>
              <w:rPr>
                <w:rFonts w:ascii="宋体" w:hAnsi="宋体" w:cs="宋体"/>
                <w:color w:val="000000"/>
                <w:sz w:val="24"/>
                <w:szCs w:val="24"/>
              </w:rPr>
            </w:pPr>
          </w:p>
        </w:tc>
        <w:tc>
          <w:tcPr>
            <w:tcW w:w="1189" w:type="dxa"/>
            <w:gridSpan w:val="3"/>
            <w:tcBorders>
              <w:top w:val="nil"/>
              <w:left w:val="nil"/>
              <w:bottom w:val="nil"/>
              <w:right w:val="nil"/>
            </w:tcBorders>
            <w:shd w:val="clear" w:color="auto" w:fill="auto"/>
            <w:tcMar>
              <w:top w:w="15" w:type="dxa"/>
              <w:left w:w="15" w:type="dxa"/>
              <w:right w:w="15" w:type="dxa"/>
            </w:tcMar>
            <w:vAlign w:val="center"/>
          </w:tcPr>
          <w:p>
            <w:pPr>
              <w:rPr>
                <w:rFonts w:ascii="宋体" w:hAnsi="宋体" w:cs="宋体"/>
                <w:color w:val="000000"/>
                <w:sz w:val="24"/>
                <w:szCs w:val="24"/>
              </w:rPr>
            </w:pPr>
          </w:p>
        </w:tc>
      </w:tr>
    </w:tbl>
    <w:p/>
    <w:sectPr>
      <w:footerReference r:id="rId3" w:type="default"/>
      <w:type w:val="continuous"/>
      <w:pgSz w:w="16838" w:h="11906" w:orient="landscape"/>
      <w:pgMar w:top="1701" w:right="1418" w:bottom="1418" w:left="1701" w:header="851" w:footer="992" w:gutter="0"/>
      <w:cols w:space="720" w:num="1"/>
      <w:docGrid w:type="linesAndChars" w:linePitch="311" w:charSpace="-115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86"/>
    <w:family w:val="auto"/>
    <w:pitch w:val="default"/>
    <w:sig w:usb0="00000000" w:usb1="00000000" w:usb2="00000000" w:usb3="00000000" w:csb0="00040000" w:csb1="00000000"/>
  </w:font>
  <w:font w:name="华文宋体">
    <w:altName w:val="宋体"/>
    <w:panose1 w:val="02010600040101010101"/>
    <w:charset w:val="86"/>
    <w:family w:val="auto"/>
    <w:pitch w:val="default"/>
    <w:sig w:usb0="00000000" w:usb1="0000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pPr>
    <w:r>
      <w:rPr>
        <w:rFonts w:ascii="Times New Roman" w:hAnsi="Times New Roman"/>
        <w:sz w:val="24"/>
      </w:rPr>
      <w:t xml:space="preserve">— </w:t>
    </w:r>
    <w:r>
      <w:rPr>
        <w:rFonts w:ascii="Times New Roman" w:hAnsi="Times New Roman"/>
        <w:sz w:val="24"/>
      </w:rPr>
      <w:fldChar w:fldCharType="begin"/>
    </w:r>
    <w:r>
      <w:rPr>
        <w:rFonts w:ascii="Times New Roman" w:hAnsi="Times New Roman"/>
        <w:sz w:val="24"/>
      </w:rPr>
      <w:instrText xml:space="preserve">PAGE   \* MERGEFORMAT</w:instrText>
    </w:r>
    <w:r>
      <w:rPr>
        <w:rFonts w:ascii="Times New Roman" w:hAnsi="Times New Roman"/>
        <w:sz w:val="24"/>
      </w:rPr>
      <w:fldChar w:fldCharType="separate"/>
    </w:r>
    <w:r>
      <w:t>2</w:t>
    </w:r>
    <w:r>
      <w:rPr>
        <w:rFonts w:ascii="Times New Roman" w:hAnsi="Times New Roman"/>
        <w:sz w:val="24"/>
      </w:rPr>
      <w:fldChar w:fldCharType="end"/>
    </w:r>
    <w:r>
      <w:rPr>
        <w:rFonts w:ascii="Times New Roman" w:hAnsi="Times New Roman"/>
        <w:sz w:val="24"/>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190860FD"/>
    <w:rsid w:val="005E4419"/>
    <w:rsid w:val="007809E7"/>
    <w:rsid w:val="00791D9A"/>
    <w:rsid w:val="008D2460"/>
    <w:rsid w:val="00997D42"/>
    <w:rsid w:val="00AA31C2"/>
    <w:rsid w:val="00AD1587"/>
    <w:rsid w:val="00C14EDA"/>
    <w:rsid w:val="00C8719F"/>
    <w:rsid w:val="00D00214"/>
    <w:rsid w:val="00E1444E"/>
    <w:rsid w:val="00EF2378"/>
    <w:rsid w:val="00FF3F68"/>
    <w:rsid w:val="05CE17F8"/>
    <w:rsid w:val="0A705849"/>
    <w:rsid w:val="0D2A0B7D"/>
    <w:rsid w:val="0E3A7C8F"/>
    <w:rsid w:val="0E4577B0"/>
    <w:rsid w:val="12610566"/>
    <w:rsid w:val="14393772"/>
    <w:rsid w:val="190860FD"/>
    <w:rsid w:val="1F265838"/>
    <w:rsid w:val="208815C8"/>
    <w:rsid w:val="29557BE2"/>
    <w:rsid w:val="2A1C11EB"/>
    <w:rsid w:val="40E91081"/>
    <w:rsid w:val="47EC6971"/>
    <w:rsid w:val="49DA36B2"/>
    <w:rsid w:val="4A010663"/>
    <w:rsid w:val="4B2F40E4"/>
    <w:rsid w:val="4C131BCE"/>
    <w:rsid w:val="4DAC2AB6"/>
    <w:rsid w:val="50437BB0"/>
    <w:rsid w:val="52354C7C"/>
    <w:rsid w:val="537646E6"/>
    <w:rsid w:val="54985975"/>
    <w:rsid w:val="581E790C"/>
    <w:rsid w:val="59763814"/>
    <w:rsid w:val="59EF333F"/>
    <w:rsid w:val="61C064EA"/>
    <w:rsid w:val="637B6DC2"/>
    <w:rsid w:val="684D1C63"/>
    <w:rsid w:val="69ED5875"/>
    <w:rsid w:val="6FA04E3B"/>
    <w:rsid w:val="72B020EB"/>
    <w:rsid w:val="73A6644C"/>
    <w:rsid w:val="7571745E"/>
    <w:rsid w:val="76812CCD"/>
    <w:rsid w:val="77513167"/>
    <w:rsid w:val="77694979"/>
    <w:rsid w:val="77772DFC"/>
    <w:rsid w:val="791C6EF6"/>
    <w:rsid w:val="79B257E0"/>
    <w:rsid w:val="7A012091"/>
    <w:rsid w:val="7A1F64ED"/>
    <w:rsid w:val="7B7B2BBE"/>
    <w:rsid w:val="7BA02A7C"/>
    <w:rsid w:val="7F790E9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link w:val="10"/>
    <w:uiPriority w:val="0"/>
    <w:pPr>
      <w:pBdr>
        <w:bottom w:val="single" w:color="auto" w:sz="6" w:space="1"/>
      </w:pBdr>
      <w:tabs>
        <w:tab w:val="center" w:pos="4153"/>
        <w:tab w:val="right" w:pos="8306"/>
      </w:tabs>
      <w:snapToGrid w:val="0"/>
      <w:jc w:val="center"/>
    </w:pPr>
    <w:rPr>
      <w:sz w:val="18"/>
      <w:szCs w:val="18"/>
    </w:rPr>
  </w:style>
  <w:style w:type="character" w:styleId="6">
    <w:name w:val="Hyperlink"/>
    <w:unhideWhenUsed/>
    <w:qFormat/>
    <w:uiPriority w:val="99"/>
    <w:rPr>
      <w:color w:val="0000FF"/>
      <w:u w:val="single"/>
    </w:rPr>
  </w:style>
  <w:style w:type="character" w:customStyle="1" w:styleId="7">
    <w:name w:val="font31"/>
    <w:basedOn w:val="5"/>
    <w:qFormat/>
    <w:uiPriority w:val="0"/>
    <w:rPr>
      <w:rFonts w:hint="eastAsia" w:ascii="宋体" w:hAnsi="宋体" w:eastAsia="宋体" w:cs="宋体"/>
      <w:color w:val="000000"/>
      <w:sz w:val="24"/>
      <w:szCs w:val="24"/>
      <w:u w:val="none"/>
    </w:rPr>
  </w:style>
  <w:style w:type="character" w:customStyle="1" w:styleId="8">
    <w:name w:val="font01"/>
    <w:basedOn w:val="5"/>
    <w:qFormat/>
    <w:uiPriority w:val="0"/>
    <w:rPr>
      <w:rFonts w:hint="eastAsia" w:ascii="宋体" w:hAnsi="宋体" w:eastAsia="宋体" w:cs="宋体"/>
      <w:color w:val="000000"/>
      <w:sz w:val="24"/>
      <w:szCs w:val="24"/>
      <w:u w:val="none"/>
    </w:rPr>
  </w:style>
  <w:style w:type="character" w:customStyle="1" w:styleId="9">
    <w:name w:val="font11"/>
    <w:basedOn w:val="5"/>
    <w:qFormat/>
    <w:uiPriority w:val="0"/>
    <w:rPr>
      <w:rFonts w:hint="eastAsia" w:ascii="宋体" w:hAnsi="宋体" w:eastAsia="宋体" w:cs="宋体"/>
      <w:color w:val="000000"/>
      <w:sz w:val="24"/>
      <w:szCs w:val="24"/>
      <w:u w:val="none"/>
    </w:rPr>
  </w:style>
  <w:style w:type="character" w:customStyle="1" w:styleId="10">
    <w:name w:val="页眉 Char"/>
    <w:basedOn w:val="5"/>
    <w:link w:val="3"/>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SysCeo.com</Company>
  <Pages>1</Pages>
  <Words>248</Words>
  <Characters>1414</Characters>
  <Lines>11</Lines>
  <Paragraphs>3</Paragraphs>
  <TotalTime>1</TotalTime>
  <ScaleCrop>false</ScaleCrop>
  <LinksUpToDate>false</LinksUpToDate>
  <CharactersWithSpaces>1659</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2019-06-10T07:49:00Z</dcterms:created>
  <dc:creator>Administrator</dc:creator>
  <cp:lastModifiedBy>Administrator</cp:lastModifiedBy>
  <cp:lastPrinted>2020-01-10T01:43:00Z</cp:lastPrinted>
  <dcterms:modified xsi:type="dcterms:W3CDTF">2020-09-02T04:06:35Z</dcterms:modified>
  <dc:title>四平市司法局关于做好2019年度</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