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劳动保障监察执法指南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一、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办理流程：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（一）受理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 xml:space="preserve">   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办理部门：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伊通满族自治县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劳动保障监察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大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队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地址：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伊通满族自治县财政局家属楼一楼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办理结果：申请材料齐全、符合法定形式的，符合受理条件的，予以立案，不符合受理条件或不在受理范围的，出具《不予受理通知书》。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办理时间：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冬季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办公时间工作日周一至周五上午</w:t>
      </w:r>
    </w:p>
    <w:p>
      <w:pPr>
        <w:numPr>
          <w:ilvl w:val="0"/>
          <w:numId w:val="0"/>
        </w:numPr>
        <w:jc w:val="left"/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8:30-1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: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0，下午1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:00-1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:30；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夏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季办公时间工作日周一至周五上午8:30-12:00，下午13:30-17:00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法定办理时限：5个工作日决定是否受理。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（二）调查处理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办理部门：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伊通满族自治县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劳动保障监察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大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队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地址：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伊通满族自治县财政局家属楼一楼</w:t>
      </w:r>
    </w:p>
    <w:p>
      <w:pPr>
        <w:numPr>
          <w:ilvl w:val="0"/>
          <w:numId w:val="0"/>
        </w:numPr>
        <w:jc w:val="left"/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办理结果：对在规定时间内改正违法行为的单位，予以结案，对拒不改正违法行为的单位，依法进入处理处罚程序。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办理时间：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冬季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办公时间工作日周一至周五上午8:30-1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: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0，下午1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:00-1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:30；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夏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季办公时间工作日周一至周五上午8:30-12:00，下午13:30-17:00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办结时限：《劳动保障监察条例》第十七条：劳动保障行政部门对违反劳动保障法律、法规或者规章的行为的调查，应当自立案之日起60个工作日内完成；对情况复杂的，经劳动保障行政部门负责人批准，可以延长30个工作日。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（三）处理处罚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办理部门：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伊通满族自治县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劳动保障监察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大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队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地址：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伊通满族自治县财政局家属楼一楼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办理内容：制作并送达劳动保障监察行政处罚（处理）相关文书。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办理时间：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冬季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办公时间工作日周一至周五上午</w:t>
      </w:r>
    </w:p>
    <w:p>
      <w:pPr>
        <w:numPr>
          <w:ilvl w:val="0"/>
          <w:numId w:val="0"/>
        </w:numPr>
        <w:jc w:val="left"/>
        <w:rPr>
          <w:rFonts w:hint="default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8:30-1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: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0，下午1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:00-1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:30；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夏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季办公时间工作日周一至周五上午8:30-12:00，下午13:30-17:00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办理时限：调查结束后，十五个工作日作出处理、处罚决定。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办理结果：对符合标准要求的予以核准,制作并送达劳动保障监察行政处罚（处理）相关文书。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二、救济途径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行政复议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部门名称示例：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伊通满族自治县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人民政府行政复议委员会办公室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联系电话示例：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val="en-US" w:eastAsia="zh-CN"/>
        </w:rPr>
        <w:t>0434-4223788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行政诉讼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华文仿宋" w:hAnsi="华文仿宋" w:eastAsia="华文仿宋" w:cs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部门名称示例：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伊通满族自治县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人民法院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　部门地址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  <w:lang w:eastAsia="zh-CN"/>
        </w:rPr>
        <w:t>：伊通满族自治县库伦大路西侧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br w:type="textWrapping"/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shd w:val="clear" w:fill="FFFFFF"/>
        </w:rPr>
        <w:t>　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>窗体底端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8704D"/>
    <w:rsid w:val="0F78704D"/>
    <w:rsid w:val="34335B01"/>
    <w:rsid w:val="3B2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4276"/>
      <w:u w:val="none"/>
    </w:rPr>
  </w:style>
  <w:style w:type="character" w:styleId="6">
    <w:name w:val="Hyperlink"/>
    <w:basedOn w:val="4"/>
    <w:qFormat/>
    <w:uiPriority w:val="0"/>
    <w:rPr>
      <w:color w:val="004276"/>
      <w:u w:val="none"/>
    </w:rPr>
  </w:style>
  <w:style w:type="character" w:customStyle="1" w:styleId="7">
    <w:name w:val="bot"/>
    <w:basedOn w:val="4"/>
    <w:qFormat/>
    <w:uiPriority w:val="0"/>
    <w:rPr>
      <w:bdr w:val="single" w:color="FFFFFF" w:sz="48" w:space="0"/>
    </w:rPr>
  </w:style>
  <w:style w:type="character" w:customStyle="1" w:styleId="8">
    <w:name w:val="top"/>
    <w:basedOn w:val="4"/>
    <w:qFormat/>
    <w:uiPriority w:val="0"/>
    <w:rPr>
      <w:bdr w:val="dashed" w:color="auto" w:sz="48" w:space="0"/>
    </w:rPr>
  </w:style>
  <w:style w:type="paragraph" w:customStyle="1" w:styleId="9">
    <w:name w:val="_Style 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">
    <w:name w:val="_Style 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2020-04-01T02:08:00Z</dcterms:created>
  <dc:creator>微笑</dc:creator>
  <cp:lastModifiedBy>微笑</cp:lastModifiedBy>
  <cp:lastPrinted>2020-04-01T06:18:46Z</cp:lastPrinted>
  <dcterms:modified xsi:type="dcterms:W3CDTF">2020-04-01T06:22:34Z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