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伊通满族自治</w:t>
      </w:r>
      <w:r>
        <w:rPr>
          <w:rFonts w:hint="eastAsia" w:ascii="宋体" w:hAnsi="宋体" w:eastAsia="宋体"/>
          <w:b/>
          <w:sz w:val="44"/>
          <w:szCs w:val="44"/>
        </w:rPr>
        <w:t>县</w:t>
      </w:r>
      <w:r>
        <w:rPr>
          <w:rFonts w:hint="eastAsia" w:ascii="宋体" w:hAnsi="宋体"/>
          <w:b/>
          <w:sz w:val="44"/>
          <w:szCs w:val="44"/>
          <w:lang w:eastAsia="zh-CN"/>
        </w:rPr>
        <w:t>住房和城乡建设局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行政执法流程图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（一般程序）</w: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7" o:spid="_x0000_s1026" type="#_x0000_t32" style="position:absolute;left:0;margin-left:167.25pt;margin-top:64.35pt;height:15pt;width:0.05pt;rotation:0f;z-index:25167257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4" o:spid="_x0000_s1027" style="position:absolute;left:0;margin-left:33pt;margin-top:572.85pt;height:23.25pt;width:327.75pt;rotation:0f;z-index:25167052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填写《政处罚案件结案报告》，报行政机关负责人批准后结案。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3" o:spid="_x0000_s1028" style="position:absolute;left:0;margin-left:-5.25pt;margin-top:507.6pt;height:51.75pt;width:434.25pt;rotation:0f;z-index:25166950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405"/>
                  </w:pPr>
                  <w:r>
                    <w:rPr>
                      <w:rFonts w:hint="eastAsia"/>
                    </w:rPr>
                    <w:t>当事人在法定期限内执行。</w:t>
                  </w:r>
                </w:p>
                <w:p>
                  <w:pPr>
                    <w:ind w:firstLine="405"/>
                  </w:pPr>
                  <w:r>
                    <w:rPr>
                      <w:rFonts w:hint="eastAsia"/>
                    </w:rPr>
                    <w:t>当事人拒不执行行政处罚的，依据《中华人民共和国行政处罚法》的规定采取措施，要求当事人履行义务。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0" o:spid="_x0000_s1029" style="position:absolute;left:0;margin-left:-5.25pt;margin-top:403.35pt;height:70.5pt;width:122.25pt;rotation:0f;z-index:25166643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当事人不要求听证的，听证跓期限届满后，制作《行政处罚决定书》送达当事人。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6" o:spid="_x0000_s1030" style="position:absolute;left:0;margin-left:0.75pt;margin-top:216.6pt;height:70.5pt;width:422.25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420"/>
                  </w:pPr>
                  <w:r>
                    <w:rPr>
                      <w:rFonts w:hint="eastAsia"/>
                    </w:rPr>
                    <w:t>调查取证：依照法定程序，收集证据材料，制作《询问笔录》、《现场勘验笔录》等执法文书。</w:t>
                  </w:r>
                </w:p>
                <w:p>
                  <w:pPr>
                    <w:ind w:firstLine="420"/>
                  </w:pPr>
                  <w:r>
                    <w:rPr>
                      <w:rFonts w:hint="eastAsia"/>
                    </w:rPr>
                    <w:t>根据案件情况，对当事人送达《责令限期改天通知书》，要求停止违法行为，提出责改要求，并在期限届满后针对要求进行复查，填写《现场复查记录》。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5" o:spid="_x0000_s1031" style="position:absolute;left:0;margin-left:19.5pt;margin-top:153.6pt;height:44.25pt;width:349.5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承办单位填写《违法案件立案呈批表》，提出立案进一步调查的建议，报行政机关负责人审批立案。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4" o:spid="_x0000_s1032" style="position:absolute;left:0;margin-left:292.5pt;margin-top:79.35pt;height:51pt;width:130.5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告知交办、移送或举报的单位、个人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3" o:spid="_x0000_s1033" style="position:absolute;left:0;margin-left:0.75pt;margin-top:79.35pt;height:57pt;width:264pt;rotation:0f;z-index:25165926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是否符合以下条件：1.属于本行政机关管辖；2.确有涉嫌违反</w:t>
                  </w:r>
                  <w:r>
                    <w:rPr>
                      <w:rFonts w:hint="eastAsia"/>
                      <w:lang w:eastAsia="zh-CN"/>
                    </w:rPr>
                    <w:t>相关</w:t>
                  </w:r>
                  <w:r>
                    <w:rPr>
                      <w:rFonts w:hint="eastAsia"/>
                    </w:rPr>
                    <w:t>管理秩序行为事实存在；3.根据行为情况需要进一步调查并采取行政措施或者进行行政处罚。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2" o:spid="_x0000_s1034" style="position:absolute;left:0;margin-left:51.75pt;margin-top:10.35pt;height:54pt;width:309pt;rotation:0f;z-index:25165824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案件来源 ：单位、个人以各种形式举报的水事违法行为；水政最监察人员在巡查中发现的水事违法行为；领导交办、批办以及有关部门移送的水事案件。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5" o:spid="_x0000_s1035" style="position:absolute;left:0;margin-left:136.5pt;margin-top:611.85pt;height:22.5pt;width:128.25pt;rotation:0f;z-index:25167155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立卷归档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2" o:spid="_x0000_s1036" style="position:absolute;left:0;margin-left:132.75pt;margin-top:455.85pt;height:37.5pt;width:149.25pt;rotation:0f;z-index:25166848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集体讨论：制作《行政处罚决定书》送达当事人。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11" o:spid="_x0000_s1037" style="position:absolute;left:0;margin-left:132.75pt;margin-top:403.35pt;height:39pt;width:149.25pt;rotation:0f;z-index:25166745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当事人要求听证的，依法举行听证会。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9" o:spid="_x0000_s1038" style="position:absolute;left:0;margin-left:298.5pt;margin-top:347.85pt;height:77.25pt;width:130.5pt;rotation:0f;z-index:25166540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不符合听证条件的案件，对当事人进行行政处罚告知，听取当事人陈述和申辩。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8" o:spid="_x0000_s1039" style="position:absolute;left:0;margin-left:4.5pt;margin-top:347.85pt;height:40.5pt;width:214.5pt;rotation:0f;z-index:25166438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 xml:space="preserve">    符合听证条件的案件，填写《听证告知书》送达当事人，告知其听证权利。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rect id="文本框 7" o:spid="_x0000_s1040" style="position:absolute;left:0;margin-left:19.5pt;margin-top:303.6pt;height:25.5pt;width:375.75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整理材料，填写《案件处理呈批表》，提出处罚建议，报行政机关负责人审批。</w:t>
                  </w:r>
                </w:p>
              </w:txbxContent>
            </v:textbox>
          </v:rect>
        </w:pict>
      </w:r>
      <w:r>
        <w:rPr>
          <w:rFonts w:hint="eastAsia"/>
        </w:rPr>
        <w:t xml:space="preserve">                                                                                                                                           </w:t>
      </w:r>
    </w:p>
    <w:p/>
    <w:p/>
    <w:p/>
    <w:p/>
    <w:p/>
    <w:p>
      <w:pPr>
        <w:tabs>
          <w:tab w:val="left" w:pos="5505"/>
        </w:tabs>
      </w:pPr>
      <w:r>
        <w:tab/>
      </w:r>
      <w:r>
        <w:rPr>
          <w:rFonts w:hint="eastAsia"/>
        </w:rPr>
        <w:t>否</w: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18" o:spid="_x0000_s1041" type="#_x0000_t32" style="position:absolute;left:0;margin-left:264.75pt;margin-top:0.15pt;height:0.05pt;width:27.75pt;rotation:0f;z-index:25167360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0" o:spid="_x0000_s1042" type="#_x0000_t32" style="position:absolute;left:0;margin-left:167.25pt;margin-top:11.55pt;height:17.25pt;width:0.05pt;rotation:0f;z-index:25167462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tabs>
          <w:tab w:val="left" w:pos="3495"/>
        </w:tabs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30" o:spid="_x0000_s1043" type="#_x0000_t32" style="position:absolute;left:0;margin-left:197.25pt;margin-top:455.7pt;height:15.75pt;width:0.05pt;rotation:0f;z-index:25168486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9" o:spid="_x0000_s1044" type="#_x0000_t32" style="position:absolute;left:0;margin-left:197.25pt;margin-top:418.95pt;height:13.5pt;width:0.05pt;rotation:0f;z-index:25168384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8" o:spid="_x0000_s1045" type="#_x0000_t32" style="position:absolute;left:0;margin-left:197.25pt;margin-top:352.95pt;height:14.25pt;width:0.05pt;rotation:0f;z-index:25168281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7" o:spid="_x0000_s1046" type="#_x0000_t32" style="position:absolute;left:0;margin-left:197.25pt;margin-top:301.95pt;height:13.5pt;width:0.05pt;rotation:0f;z-index:25168179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6" o:spid="_x0000_s1047" type="#_x0000_t32" style="position:absolute;left:0;margin-left:192pt;margin-top:247.95pt;height:15pt;width:0.05pt;rotation:0f;z-index:25168076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5" o:spid="_x0000_s1048" type="#_x0000_t32" style="position:absolute;left:0;margin-left:56.25pt;margin-top:333.45pt;height:33.75pt;width:0.05pt;rotation:0f;z-index:25167974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4" o:spid="_x0000_s1049" type="#_x0000_t32" style="position:absolute;left:0;margin-left:356.25pt;margin-top:188.7pt;height:18.75pt;width:0.75pt;rotation:0f;z-index:25167872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3" o:spid="_x0000_s1050" type="#_x0000_t32" style="position:absolute;left:0;margin-left:109.5pt;margin-top:188.7pt;height:18.75pt;width:0.75pt;rotation:0f;z-index:25167769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2" o:spid="_x0000_s1051" type="#_x0000_t32" style="position:absolute;left:0;margin-left:197.25pt;margin-top:146.7pt;height:16.5pt;width:0.05pt;rotation:0f;z-index:25167667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自选图形 21" o:spid="_x0000_s1052" type="#_x0000_t32" style="position:absolute;left:0;margin-left:197.25pt;margin-top:57.45pt;height:18.75pt;width:0.05pt;rotation:0f;z-index:25167564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tab/>
      </w:r>
      <w:r>
        <w:rPr>
          <w:rFonts w:hint="eastAsia"/>
        </w:rPr>
        <w:t>是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2020-07-23T08:39:00Z</dcterms:created>
  <dc:creator>Administrator</dc:creator>
  <cp:lastModifiedBy>1</cp:lastModifiedBy>
  <dcterms:modified xsi:type="dcterms:W3CDTF">2020-09-03T01:16:43Z</dcterms:modified>
  <dc:title>伊通满族自治县住房和城乡建设局行政执法流程图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